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50" w:rsidRPr="00EE6DF8" w:rsidRDefault="00EE1850" w:rsidP="00EE1850">
      <w:pPr>
        <w:pStyle w:val="APA"/>
        <w:rPr>
          <w:rFonts w:ascii="Arial" w:hAnsi="Arial" w:cs="Arial"/>
        </w:rPr>
      </w:pPr>
      <w:bookmarkStart w:id="0" w:name="_GoBack"/>
      <w:bookmarkEnd w:id="0"/>
    </w:p>
    <w:p w:rsidR="00EE1850" w:rsidRPr="00EE6DF8" w:rsidRDefault="00EE1850" w:rsidP="00EE1850">
      <w:pPr>
        <w:pStyle w:val="APA"/>
        <w:rPr>
          <w:rFonts w:ascii="Arial" w:hAnsi="Arial" w:cs="Arial"/>
        </w:rPr>
      </w:pPr>
    </w:p>
    <w:p w:rsidR="00EE1850" w:rsidRPr="00EE6DF8" w:rsidRDefault="00EE1850" w:rsidP="00EE1850">
      <w:pPr>
        <w:pStyle w:val="APA"/>
        <w:rPr>
          <w:rFonts w:ascii="Arial" w:hAnsi="Arial" w:cs="Arial"/>
        </w:rPr>
      </w:pPr>
    </w:p>
    <w:p w:rsidR="00EE1850" w:rsidRPr="00EE6DF8" w:rsidRDefault="00EE1850" w:rsidP="00EE1850">
      <w:pPr>
        <w:pStyle w:val="APA"/>
        <w:rPr>
          <w:rFonts w:ascii="Arial" w:hAnsi="Arial" w:cs="Arial"/>
        </w:rPr>
      </w:pPr>
    </w:p>
    <w:p w:rsidR="00EE1850" w:rsidRPr="00EE6DF8" w:rsidRDefault="00EE1850" w:rsidP="00EE1850">
      <w:pPr>
        <w:pStyle w:val="APA"/>
        <w:rPr>
          <w:rFonts w:ascii="Arial" w:hAnsi="Arial" w:cs="Arial"/>
        </w:rPr>
      </w:pPr>
    </w:p>
    <w:p w:rsidR="00EE1850" w:rsidRPr="00EE6DF8" w:rsidRDefault="00EE1850" w:rsidP="00EE1850">
      <w:pPr>
        <w:pStyle w:val="APA"/>
        <w:rPr>
          <w:rFonts w:ascii="Arial" w:hAnsi="Arial" w:cs="Arial"/>
        </w:rPr>
      </w:pPr>
    </w:p>
    <w:p w:rsidR="00EE1850" w:rsidRPr="00EE6DF8" w:rsidRDefault="00EE1850" w:rsidP="00EE1850">
      <w:pPr>
        <w:pStyle w:val="APA"/>
        <w:rPr>
          <w:rFonts w:ascii="Arial" w:hAnsi="Arial" w:cs="Arial"/>
        </w:rPr>
      </w:pPr>
    </w:p>
    <w:p w:rsidR="00EE1850" w:rsidRPr="00EE6DF8" w:rsidRDefault="0080048A" w:rsidP="00EE1850">
      <w:pPr>
        <w:pStyle w:val="APAHeadingCenter"/>
        <w:rPr>
          <w:rFonts w:ascii="Arial" w:hAnsi="Arial" w:cs="Arial"/>
        </w:rPr>
      </w:pPr>
      <w:r>
        <w:rPr>
          <w:rFonts w:ascii="Arial" w:hAnsi="Arial" w:cs="Arial"/>
        </w:rPr>
        <w:t xml:space="preserve">Patient Acuity in the ER </w:t>
      </w:r>
    </w:p>
    <w:p w:rsidR="00EE1850" w:rsidRPr="00EE6DF8" w:rsidRDefault="00EE1850" w:rsidP="00EE1850">
      <w:pPr>
        <w:pStyle w:val="APAHeadingCenter"/>
        <w:rPr>
          <w:rFonts w:ascii="Arial" w:hAnsi="Arial" w:cs="Arial"/>
        </w:rPr>
      </w:pPr>
      <w:bookmarkStart w:id="1" w:name="bmTitlePageName"/>
      <w:r w:rsidRPr="00EE6DF8">
        <w:rPr>
          <w:rFonts w:ascii="Arial" w:hAnsi="Arial" w:cs="Arial"/>
        </w:rPr>
        <w:t>Nichole Rodrock</w:t>
      </w:r>
      <w:bookmarkEnd w:id="1"/>
    </w:p>
    <w:p w:rsidR="00EE1850" w:rsidRPr="00EE6DF8" w:rsidRDefault="00EE1850" w:rsidP="00EE1850">
      <w:pPr>
        <w:pStyle w:val="APAHeadingCenter"/>
        <w:rPr>
          <w:rFonts w:ascii="Arial" w:hAnsi="Arial" w:cs="Arial"/>
        </w:rPr>
      </w:pPr>
      <w:bookmarkStart w:id="2" w:name="bmTitlePageInst"/>
      <w:r w:rsidRPr="00EE6DF8">
        <w:rPr>
          <w:rFonts w:ascii="Arial" w:hAnsi="Arial" w:cs="Arial"/>
        </w:rPr>
        <w:t>Missouri State University</w:t>
      </w:r>
      <w:bookmarkEnd w:id="2"/>
    </w:p>
    <w:p w:rsidR="00EE1850" w:rsidRPr="00EE6DF8" w:rsidRDefault="00EE1850" w:rsidP="00EE1850">
      <w:pPr>
        <w:pStyle w:val="APAHeadingCenter"/>
        <w:rPr>
          <w:rFonts w:ascii="Arial" w:hAnsi="Arial" w:cs="Arial"/>
        </w:rPr>
      </w:pPr>
      <w:bookmarkStart w:id="3" w:name="bmTitleAdd1"/>
      <w:r w:rsidRPr="00EE6DF8">
        <w:rPr>
          <w:rFonts w:ascii="Arial" w:hAnsi="Arial" w:cs="Arial"/>
        </w:rPr>
        <w:t>PSY 527/627</w:t>
      </w:r>
      <w:bookmarkEnd w:id="3"/>
    </w:p>
    <w:p w:rsidR="00EE1850" w:rsidRPr="00EE6DF8" w:rsidRDefault="00EE1850" w:rsidP="00EE1850">
      <w:pPr>
        <w:pStyle w:val="APAHeadingCenter"/>
        <w:rPr>
          <w:rFonts w:ascii="Arial" w:hAnsi="Arial" w:cs="Arial"/>
        </w:rPr>
      </w:pPr>
      <w:bookmarkStart w:id="4" w:name="bmTitleAdd2"/>
      <w:bookmarkEnd w:id="4"/>
    </w:p>
    <w:p w:rsidR="00EE1850" w:rsidRPr="00EE6DF8" w:rsidRDefault="00EE1850" w:rsidP="00EE1850">
      <w:pPr>
        <w:pStyle w:val="APAHeadingCenter"/>
        <w:rPr>
          <w:rFonts w:ascii="Arial" w:hAnsi="Arial" w:cs="Arial"/>
        </w:rPr>
      </w:pPr>
      <w:bookmarkStart w:id="5" w:name="bmTitleAdd3"/>
      <w:bookmarkEnd w:id="5"/>
    </w:p>
    <w:p w:rsidR="00EE1850" w:rsidRPr="00EE6DF8" w:rsidRDefault="00EE1850" w:rsidP="00EE1850">
      <w:pPr>
        <w:pStyle w:val="APAHeadingCenter"/>
        <w:rPr>
          <w:rFonts w:ascii="Arial" w:hAnsi="Arial" w:cs="Arial"/>
        </w:rPr>
      </w:pPr>
      <w:bookmarkStart w:id="6" w:name="bmTitleAdd4"/>
      <w:bookmarkEnd w:id="6"/>
    </w:p>
    <w:p w:rsidR="00EE1850" w:rsidRPr="00EE6DF8" w:rsidRDefault="00EE1850" w:rsidP="00EE1850">
      <w:pPr>
        <w:pStyle w:val="APA"/>
        <w:rPr>
          <w:rFonts w:ascii="Arial" w:hAnsi="Arial" w:cs="Arial"/>
        </w:rPr>
        <w:sectPr w:rsidR="00EE1850" w:rsidRPr="00EE6DF8" w:rsidSect="00EE1850">
          <w:headerReference w:type="default" r:id="rId6"/>
          <w:headerReference w:type="first" r:id="rId7"/>
          <w:pgSz w:w="12240" w:h="15840" w:code="1"/>
          <w:pgMar w:top="1440" w:right="1440" w:bottom="1440" w:left="1440" w:header="720" w:footer="720" w:gutter="0"/>
          <w:cols w:space="720"/>
          <w:titlePg/>
          <w:docGrid w:linePitch="360"/>
        </w:sectPr>
      </w:pPr>
    </w:p>
    <w:p w:rsidR="00EE1850" w:rsidRPr="00EE6DF8" w:rsidRDefault="00EE1850" w:rsidP="00EE1850">
      <w:pPr>
        <w:pStyle w:val="APA"/>
        <w:rPr>
          <w:rFonts w:ascii="Arial" w:hAnsi="Arial" w:cs="Arial"/>
        </w:rPr>
        <w:sectPr w:rsidR="00EE1850" w:rsidRPr="00EE6DF8" w:rsidSect="00EE1850">
          <w:headerReference w:type="first" r:id="rId8"/>
          <w:type w:val="continuous"/>
          <w:pgSz w:w="12240" w:h="15840" w:code="1"/>
          <w:pgMar w:top="1440" w:right="1440" w:bottom="1440" w:left="1440" w:header="720" w:footer="720" w:gutter="0"/>
          <w:cols w:space="720"/>
          <w:titlePg/>
          <w:docGrid w:linePitch="360"/>
        </w:sectPr>
      </w:pPr>
    </w:p>
    <w:p w:rsidR="00EE1850" w:rsidRPr="00EE6DF8" w:rsidRDefault="0080048A" w:rsidP="00EE1850">
      <w:pPr>
        <w:pStyle w:val="APAHeadingCenter"/>
        <w:rPr>
          <w:rFonts w:ascii="Arial" w:hAnsi="Arial" w:cs="Arial"/>
        </w:rPr>
      </w:pPr>
      <w:r>
        <w:rPr>
          <w:rFonts w:ascii="Arial" w:hAnsi="Arial" w:cs="Arial"/>
        </w:rPr>
        <w:lastRenderedPageBreak/>
        <w:t>Patient Acuity in the ER</w:t>
      </w:r>
    </w:p>
    <w:p w:rsidR="005C0B96" w:rsidRDefault="00A8436D" w:rsidP="00EE1850">
      <w:pPr>
        <w:pStyle w:val="APA"/>
        <w:rPr>
          <w:rFonts w:ascii="Arial" w:hAnsi="Arial" w:cs="Arial"/>
        </w:rPr>
      </w:pPr>
      <w:r w:rsidRPr="00EE6DF8">
        <w:rPr>
          <w:rFonts w:ascii="Arial" w:hAnsi="Arial" w:cs="Arial"/>
        </w:rPr>
        <w:t>Many different types of patients come to a rural emergency room (ER).  Since there is generally not adequate rural healthcare many patients come to the ER for minor complaints that could easily be taken care of by</w:t>
      </w:r>
      <w:r w:rsidR="00FE2D86" w:rsidRPr="00EE6DF8">
        <w:rPr>
          <w:rFonts w:ascii="Arial" w:hAnsi="Arial" w:cs="Arial"/>
        </w:rPr>
        <w:t xml:space="preserve"> a primary care provider.  When a patient first enters the ER they are registered and then seen by a triage nurse.  The triage nurse does an initial assessment and determines the patients acuity level</w:t>
      </w:r>
      <w:r w:rsidR="00EE6DF8" w:rsidRPr="00EE6DF8">
        <w:rPr>
          <w:rFonts w:ascii="Arial" w:hAnsi="Arial" w:cs="Arial"/>
        </w:rPr>
        <w:t xml:space="preserve"> also known as a</w:t>
      </w:r>
      <w:r w:rsidR="005C0B96">
        <w:rPr>
          <w:rFonts w:ascii="Arial" w:hAnsi="Arial" w:cs="Arial"/>
        </w:rPr>
        <w:t>n</w:t>
      </w:r>
      <w:r w:rsidR="00EE6DF8" w:rsidRPr="00EE6DF8">
        <w:rPr>
          <w:rFonts w:ascii="Arial" w:hAnsi="Arial" w:cs="Arial"/>
        </w:rPr>
        <w:t xml:space="preserve"> emergency severity index (ESI)</w:t>
      </w:r>
      <w:r w:rsidR="00FE2D86" w:rsidRPr="00EE6DF8">
        <w:rPr>
          <w:rFonts w:ascii="Arial" w:hAnsi="Arial" w:cs="Arial"/>
        </w:rPr>
        <w:t>.</w:t>
      </w:r>
      <w:r w:rsidR="00EE6DF8" w:rsidRPr="00EE6DF8">
        <w:rPr>
          <w:rFonts w:ascii="Arial" w:hAnsi="Arial" w:cs="Arial"/>
        </w:rPr>
        <w:t xml:space="preserve"> </w:t>
      </w:r>
      <w:r w:rsidR="005C0B96">
        <w:rPr>
          <w:rFonts w:ascii="Arial" w:hAnsi="Arial" w:cs="Arial"/>
        </w:rPr>
        <w:t xml:space="preserve"> </w:t>
      </w:r>
    </w:p>
    <w:p w:rsidR="005C0B96" w:rsidRDefault="005C0B96" w:rsidP="00EE1850">
      <w:pPr>
        <w:pStyle w:val="APA"/>
        <w:rPr>
          <w:rFonts w:ascii="Arial" w:hAnsi="Arial" w:cs="Arial"/>
        </w:rPr>
      </w:pPr>
      <w:r>
        <w:rPr>
          <w:rFonts w:ascii="Arial" w:hAnsi="Arial" w:cs="Arial"/>
        </w:rPr>
        <w:t xml:space="preserve">A question has risen about whether the nurses are assigning accurate ESI scores in triage.  To determine if the scores are being applied correctly I would like to evaluate how the acuity of patients relates to a few other factors.  The questions I wish to review is if there is significance between the acuity level assigned and the length of stay of the patient.  I believe that if a patient has a higher acuity they would stay longer in the ER for treatment.  Also if there is a higher acuity is there a higher chance of the patient being admitted or transferred as opposed to being discharged home.  I am also interested in seeing if there is a correlation between acuity and insurance status.  I believe that higher acuities will not have insurance, because patients will wait longer to seek treatment. </w:t>
      </w:r>
    </w:p>
    <w:p w:rsidR="005C0B96" w:rsidRDefault="00EE6DF8" w:rsidP="005C0B96">
      <w:pPr>
        <w:pStyle w:val="APA"/>
        <w:jc w:val="center"/>
        <w:rPr>
          <w:rFonts w:ascii="Arial" w:hAnsi="Arial" w:cs="Arial"/>
        </w:rPr>
      </w:pPr>
      <w:r w:rsidRPr="00EE6DF8">
        <w:rPr>
          <w:rFonts w:ascii="Arial" w:hAnsi="Arial" w:cs="Arial"/>
        </w:rPr>
        <w:t xml:space="preserve"> </w:t>
      </w:r>
      <w:r w:rsidR="005C0B96">
        <w:rPr>
          <w:rFonts w:ascii="Arial" w:hAnsi="Arial" w:cs="Arial"/>
        </w:rPr>
        <w:t>METHODS</w:t>
      </w:r>
    </w:p>
    <w:p w:rsidR="005C0B96" w:rsidRPr="005C0B96" w:rsidRDefault="005C0B96" w:rsidP="005C0B96">
      <w:pPr>
        <w:pStyle w:val="APA"/>
        <w:ind w:firstLine="0"/>
        <w:rPr>
          <w:rFonts w:ascii="Arial" w:hAnsi="Arial" w:cs="Arial"/>
        </w:rPr>
      </w:pPr>
      <w:r>
        <w:rPr>
          <w:rFonts w:ascii="Arial" w:hAnsi="Arial" w:cs="Arial"/>
          <w:u w:val="single"/>
        </w:rPr>
        <w:t>Subjects</w:t>
      </w:r>
    </w:p>
    <w:p w:rsidR="005C0B96" w:rsidRDefault="005C0B96" w:rsidP="005C0B96">
      <w:pPr>
        <w:pStyle w:val="APA"/>
        <w:rPr>
          <w:rFonts w:ascii="Arial" w:hAnsi="Arial" w:cs="Arial"/>
        </w:rPr>
      </w:pPr>
      <w:r>
        <w:rPr>
          <w:rFonts w:ascii="Arial" w:hAnsi="Arial" w:cs="Arial"/>
        </w:rPr>
        <w:t>A sample of 20 charts were reviewed from the ER records.  Charts were chosen at random and evaluated on the same date.  They were chosen from a one month time frame.  All information was retrieved from the patient medical charts on file.</w:t>
      </w:r>
    </w:p>
    <w:p w:rsidR="005C0B96" w:rsidRDefault="005C0B96" w:rsidP="005C0B96">
      <w:pPr>
        <w:pStyle w:val="APA"/>
        <w:ind w:firstLine="0"/>
        <w:rPr>
          <w:rFonts w:ascii="Arial" w:hAnsi="Arial" w:cs="Arial"/>
        </w:rPr>
      </w:pPr>
      <w:r>
        <w:rPr>
          <w:rFonts w:ascii="Arial" w:hAnsi="Arial" w:cs="Arial"/>
          <w:u w:val="single"/>
        </w:rPr>
        <w:t>Apparatus</w:t>
      </w:r>
      <w:r>
        <w:rPr>
          <w:rFonts w:ascii="Arial" w:hAnsi="Arial" w:cs="Arial"/>
        </w:rPr>
        <w:t xml:space="preserve">  </w:t>
      </w:r>
    </w:p>
    <w:p w:rsidR="002F656A" w:rsidRDefault="005C0B96" w:rsidP="00EE1850">
      <w:pPr>
        <w:pStyle w:val="APA"/>
        <w:rPr>
          <w:rFonts w:ascii="Arial" w:hAnsi="Arial" w:cs="Arial"/>
        </w:rPr>
      </w:pPr>
      <w:r>
        <w:rPr>
          <w:rFonts w:ascii="Arial" w:hAnsi="Arial" w:cs="Arial"/>
        </w:rPr>
        <w:lastRenderedPageBreak/>
        <w:t xml:space="preserve">Each patients chart was evaluated for 10 different variables.  Age, sex, acuity level (ESI), chief complaint, disposition, length of stay, pain level, arrival method and insurance status.  </w:t>
      </w:r>
      <w:r w:rsidR="002F656A">
        <w:rPr>
          <w:rFonts w:ascii="Arial" w:hAnsi="Arial" w:cs="Arial"/>
        </w:rPr>
        <w:t xml:space="preserve">Arrival method is if the patient arrived by private vehicle or ambulance and insurance status is gauged either yes or no.  </w:t>
      </w:r>
    </w:p>
    <w:p w:rsidR="002F656A" w:rsidRDefault="002F656A" w:rsidP="00EE1850">
      <w:pPr>
        <w:pStyle w:val="APA"/>
        <w:rPr>
          <w:rFonts w:ascii="Arial" w:hAnsi="Arial" w:cs="Arial"/>
        </w:rPr>
      </w:pPr>
      <w:r>
        <w:rPr>
          <w:rFonts w:ascii="Arial" w:hAnsi="Arial" w:cs="Arial"/>
          <w:noProof/>
        </w:rPr>
        <w:drawing>
          <wp:anchor distT="0" distB="0" distL="114300" distR="114300" simplePos="0" relativeHeight="251656704" behindDoc="1" locked="0" layoutInCell="1" allowOverlap="1">
            <wp:simplePos x="0" y="0"/>
            <wp:positionH relativeFrom="column">
              <wp:posOffset>-981075</wp:posOffset>
            </wp:positionH>
            <wp:positionV relativeFrom="paragraph">
              <wp:posOffset>626745</wp:posOffset>
            </wp:positionV>
            <wp:extent cx="2419350" cy="2933700"/>
            <wp:effectExtent l="19050" t="0" r="0" b="0"/>
            <wp:wrapTight wrapText="bothSides">
              <wp:wrapPolygon edited="0">
                <wp:start x="-170" y="0"/>
                <wp:lineTo x="-170" y="21460"/>
                <wp:lineTo x="21600" y="21460"/>
                <wp:lineTo x="21600" y="0"/>
                <wp:lineTo x="-170" y="0"/>
              </wp:wrapPolygon>
            </wp:wrapTight>
            <wp:docPr id="2" name="Picture 2" descr="ANd9GcSu4uxSoZD2uLclfGyULip_I_Q_HMo1g3q6bjd7cmeUvt64YgkZe-aV2X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u4uxSoZD2uLclfGyULip_I_Q_HMo1g3q6bjd7cmeUvt64YgkZe-aV2X8">
                      <a:hlinkClick r:id="rId9"/>
                    </pic:cNvPr>
                    <pic:cNvPicPr>
                      <a:picLocks noChangeAspect="1" noChangeArrowheads="1"/>
                    </pic:cNvPicPr>
                  </pic:nvPicPr>
                  <pic:blipFill>
                    <a:blip r:embed="rId10" cstate="print"/>
                    <a:srcRect/>
                    <a:stretch>
                      <a:fillRect/>
                    </a:stretch>
                  </pic:blipFill>
                  <pic:spPr bwMode="auto">
                    <a:xfrm>
                      <a:off x="0" y="0"/>
                      <a:ext cx="2419350" cy="2933700"/>
                    </a:xfrm>
                    <a:prstGeom prst="rect">
                      <a:avLst/>
                    </a:prstGeom>
                    <a:noFill/>
                  </pic:spPr>
                </pic:pic>
              </a:graphicData>
            </a:graphic>
          </wp:anchor>
        </w:drawing>
      </w:r>
      <w:r>
        <w:rPr>
          <w:rFonts w:ascii="Arial" w:hAnsi="Arial" w:cs="Arial"/>
        </w:rPr>
        <w:t>A chief complaint is the presenting problem a patient has.  Chief complaints for the sample of 20 charts were chest pain, dental pain, abdominal pain, cough, fever, and breathing problem.  The chief complaint helps determine the patient acuity.</w:t>
      </w:r>
    </w:p>
    <w:p w:rsidR="00B042CF" w:rsidRDefault="00EE6DF8" w:rsidP="00EE1850">
      <w:pPr>
        <w:pStyle w:val="APA"/>
        <w:rPr>
          <w:rFonts w:ascii="Arial" w:hAnsi="Arial" w:cs="Arial"/>
        </w:rPr>
      </w:pPr>
      <w:r w:rsidRPr="00EE6DF8">
        <w:rPr>
          <w:rFonts w:ascii="Arial" w:hAnsi="Arial" w:cs="Arial"/>
        </w:rPr>
        <w:t>The ESI is a five level emergency department triage algorithm that separates patients into five groups from least to most urgent</w:t>
      </w:r>
      <w:r w:rsidR="00FE2D86" w:rsidRPr="00EE6DF8">
        <w:rPr>
          <w:rFonts w:ascii="Arial" w:hAnsi="Arial" w:cs="Arial"/>
        </w:rPr>
        <w:t xml:space="preserve"> </w:t>
      </w:r>
      <w:r>
        <w:rPr>
          <w:rFonts w:ascii="Arial" w:hAnsi="Arial" w:cs="Arial"/>
        </w:rPr>
        <w:t>based on patient acuity and resources needed</w:t>
      </w:r>
      <w:r w:rsidR="00B042CF">
        <w:rPr>
          <w:rFonts w:ascii="Arial" w:hAnsi="Arial" w:cs="Arial"/>
        </w:rPr>
        <w:t xml:space="preserve"> </w:t>
      </w:r>
      <w:bookmarkStart w:id="7" w:name="C414051623032407I123125T414051647916667"/>
      <w:r w:rsidR="00B042CF">
        <w:rPr>
          <w:rFonts w:ascii="Arial" w:hAnsi="Arial" w:cs="Arial"/>
        </w:rPr>
        <w:t>("Emergency severity index (ESI)," 2011)</w:t>
      </w:r>
      <w:bookmarkEnd w:id="7"/>
      <w:r>
        <w:rPr>
          <w:rFonts w:ascii="Arial" w:hAnsi="Arial" w:cs="Arial"/>
        </w:rPr>
        <w:t xml:space="preserve">.  The more urgent the need the faster the patient should be evaluated by a physician.  </w:t>
      </w:r>
      <w:r w:rsidR="00FE2D86" w:rsidRPr="00EE6DF8">
        <w:rPr>
          <w:rFonts w:ascii="Arial" w:hAnsi="Arial" w:cs="Arial"/>
        </w:rPr>
        <w:t xml:space="preserve"> </w:t>
      </w:r>
    </w:p>
    <w:p w:rsidR="0070080F" w:rsidRDefault="002F656A" w:rsidP="00EE1850">
      <w:pPr>
        <w:pStyle w:val="APA"/>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2914650</wp:posOffset>
            </wp:positionH>
            <wp:positionV relativeFrom="paragraph">
              <wp:posOffset>507365</wp:posOffset>
            </wp:positionV>
            <wp:extent cx="2095500" cy="2962275"/>
            <wp:effectExtent l="19050" t="0" r="0" b="0"/>
            <wp:wrapTight wrapText="bothSides">
              <wp:wrapPolygon edited="0">
                <wp:start x="-196" y="0"/>
                <wp:lineTo x="-196" y="21531"/>
                <wp:lineTo x="21600" y="21531"/>
                <wp:lineTo x="21600" y="0"/>
                <wp:lineTo x="-196" y="0"/>
              </wp:wrapPolygon>
            </wp:wrapTight>
            <wp:docPr id="1" name="Picture 3" descr="ANd9GcQatNASl3JryLG7oV1KfkJ129FYVwA6EZaEPJqw5o6_1-itGHEtNIbOHm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QatNASl3JryLG7oV1KfkJ129FYVwA6EZaEPJqw5o6_1-itGHEtNIbOHm0">
                      <a:hlinkClick r:id="rId11"/>
                    </pic:cNvPr>
                    <pic:cNvPicPr>
                      <a:picLocks noChangeAspect="1" noChangeArrowheads="1"/>
                    </pic:cNvPicPr>
                  </pic:nvPicPr>
                  <pic:blipFill>
                    <a:blip r:embed="rId12" cstate="print"/>
                    <a:srcRect/>
                    <a:stretch>
                      <a:fillRect/>
                    </a:stretch>
                  </pic:blipFill>
                  <pic:spPr bwMode="auto">
                    <a:xfrm>
                      <a:off x="0" y="0"/>
                      <a:ext cx="2095500" cy="2962275"/>
                    </a:xfrm>
                    <a:prstGeom prst="rect">
                      <a:avLst/>
                    </a:prstGeom>
                    <a:noFill/>
                  </pic:spPr>
                </pic:pic>
              </a:graphicData>
            </a:graphic>
          </wp:anchor>
        </w:drawing>
      </w:r>
      <w:r w:rsidR="00416B53">
        <w:rPr>
          <w:rFonts w:ascii="Arial" w:hAnsi="Arial" w:cs="Arial"/>
        </w:rPr>
        <w:t>An example of this would be a patient</w:t>
      </w:r>
      <w:r w:rsidR="00E31A02">
        <w:rPr>
          <w:rFonts w:ascii="Arial" w:hAnsi="Arial" w:cs="Arial"/>
        </w:rPr>
        <w:t xml:space="preserve"> with a headache that would </w:t>
      </w:r>
      <w:r w:rsidR="00416B53">
        <w:rPr>
          <w:rFonts w:ascii="Arial" w:hAnsi="Arial" w:cs="Arial"/>
        </w:rPr>
        <w:t xml:space="preserve">require only a pain shot would be considered a level 4 less urgent patient.  While a patient that comes in with shortness of breath and is blue would be a level 1 immediate patient and brought straight back into the ER. </w:t>
      </w:r>
    </w:p>
    <w:p w:rsidR="00416B53" w:rsidRDefault="002F656A" w:rsidP="00EE1850">
      <w:pPr>
        <w:pStyle w:val="APA"/>
        <w:rPr>
          <w:rFonts w:ascii="Arial" w:hAnsi="Arial" w:cs="Arial"/>
        </w:rPr>
      </w:pPr>
      <w:r>
        <w:rPr>
          <w:rFonts w:ascii="Arial" w:hAnsi="Arial" w:cs="Arial"/>
        </w:rPr>
        <w:t>A</w:t>
      </w:r>
      <w:r w:rsidR="0070080F">
        <w:rPr>
          <w:rFonts w:ascii="Arial" w:hAnsi="Arial" w:cs="Arial"/>
        </w:rPr>
        <w:t xml:space="preserve"> </w:t>
      </w:r>
      <w:r w:rsidR="005C0B96">
        <w:rPr>
          <w:rFonts w:ascii="Arial" w:hAnsi="Arial" w:cs="Arial"/>
        </w:rPr>
        <w:t>patient’s</w:t>
      </w:r>
      <w:r w:rsidR="0070080F">
        <w:rPr>
          <w:rFonts w:ascii="Arial" w:hAnsi="Arial" w:cs="Arial"/>
        </w:rPr>
        <w:t xml:space="preserve"> pain is </w:t>
      </w:r>
      <w:r>
        <w:rPr>
          <w:rFonts w:ascii="Arial" w:hAnsi="Arial" w:cs="Arial"/>
        </w:rPr>
        <w:t xml:space="preserve">level is also </w:t>
      </w:r>
      <w:r w:rsidR="0070080F">
        <w:rPr>
          <w:rFonts w:ascii="Arial" w:hAnsi="Arial" w:cs="Arial"/>
        </w:rPr>
        <w:t xml:space="preserve">evaluated in triage.  This is done by using the numerical pain scale.  Pain is rated on a scale of 0-10.  0 being no pain and 10 being the worst pain imaginable to the patient. </w:t>
      </w:r>
      <w:r w:rsidR="00416B53">
        <w:rPr>
          <w:rFonts w:ascii="Arial" w:hAnsi="Arial" w:cs="Arial"/>
        </w:rPr>
        <w:t xml:space="preserve"> </w:t>
      </w:r>
    </w:p>
    <w:p w:rsidR="0070080F" w:rsidRDefault="0070080F" w:rsidP="00EE1850">
      <w:pPr>
        <w:pStyle w:val="APA"/>
        <w:rPr>
          <w:rFonts w:ascii="Arial" w:hAnsi="Arial" w:cs="Arial"/>
        </w:rPr>
      </w:pPr>
    </w:p>
    <w:p w:rsidR="0070080F" w:rsidRDefault="00857BAE" w:rsidP="00EE1850">
      <w:pPr>
        <w:pStyle w:val="APA"/>
        <w:rPr>
          <w:rFonts w:ascii="Arial" w:hAnsi="Arial" w:cs="Arial"/>
        </w:rPr>
      </w:pPr>
      <w:r>
        <w:rPr>
          <w:noProof/>
        </w:rPr>
        <w:lastRenderedPageBreak/>
        <w:drawing>
          <wp:anchor distT="0" distB="0" distL="114300" distR="114300" simplePos="0" relativeHeight="251658752" behindDoc="1" locked="0" layoutInCell="1" allowOverlap="1">
            <wp:simplePos x="0" y="0"/>
            <wp:positionH relativeFrom="column">
              <wp:posOffset>476250</wp:posOffset>
            </wp:positionH>
            <wp:positionV relativeFrom="paragraph">
              <wp:posOffset>-114300</wp:posOffset>
            </wp:positionV>
            <wp:extent cx="4533900" cy="1152525"/>
            <wp:effectExtent l="19050" t="0" r="0" b="0"/>
            <wp:wrapTight wrapText="bothSides">
              <wp:wrapPolygon edited="0">
                <wp:start x="-91" y="0"/>
                <wp:lineTo x="-91" y="21421"/>
                <wp:lineTo x="21600" y="21421"/>
                <wp:lineTo x="21600" y="0"/>
                <wp:lineTo x="-91" y="0"/>
              </wp:wrapPolygon>
            </wp:wrapTight>
            <wp:docPr id="4" name="Picture 4" descr="ANd9GcTXExx-MunSBhv6eq8J0XhHVArraO6LkZDJynLRAM5f8ZYfncJ8SAtQ-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TXExx-MunSBhv6eq8J0XhHVArraO6LkZDJynLRAM5f8ZYfncJ8SAtQ-A">
                      <a:hlinkClick r:id="rId13"/>
                    </pic:cNvPr>
                    <pic:cNvPicPr>
                      <a:picLocks noChangeAspect="1" noChangeArrowheads="1"/>
                    </pic:cNvPicPr>
                  </pic:nvPicPr>
                  <pic:blipFill>
                    <a:blip r:embed="rId14" cstate="print"/>
                    <a:srcRect/>
                    <a:stretch>
                      <a:fillRect/>
                    </a:stretch>
                  </pic:blipFill>
                  <pic:spPr bwMode="auto">
                    <a:xfrm>
                      <a:off x="0" y="0"/>
                      <a:ext cx="4533900" cy="1152525"/>
                    </a:xfrm>
                    <a:prstGeom prst="rect">
                      <a:avLst/>
                    </a:prstGeom>
                    <a:noFill/>
                  </pic:spPr>
                </pic:pic>
              </a:graphicData>
            </a:graphic>
          </wp:anchor>
        </w:drawing>
      </w:r>
    </w:p>
    <w:p w:rsidR="0070080F" w:rsidRDefault="0070080F" w:rsidP="00EE1850">
      <w:pPr>
        <w:pStyle w:val="APA"/>
        <w:rPr>
          <w:rFonts w:ascii="Arial" w:hAnsi="Arial" w:cs="Arial"/>
        </w:rPr>
      </w:pPr>
    </w:p>
    <w:p w:rsidR="0040443D" w:rsidRDefault="0040443D" w:rsidP="00EE1850">
      <w:pPr>
        <w:pStyle w:val="APA"/>
        <w:rPr>
          <w:rFonts w:ascii="Arial" w:hAnsi="Arial" w:cs="Arial"/>
        </w:rPr>
      </w:pPr>
      <w:r>
        <w:rPr>
          <w:rFonts w:ascii="Arial" w:hAnsi="Arial" w:cs="Arial"/>
        </w:rPr>
        <w:t xml:space="preserve">  </w:t>
      </w:r>
    </w:p>
    <w:p w:rsidR="0070080F" w:rsidRDefault="002226CD" w:rsidP="00B042CF">
      <w:pPr>
        <w:pStyle w:val="APAHeadingCenterIncludedInTOC"/>
        <w:rPr>
          <w:rFonts w:ascii="Arial" w:hAnsi="Arial" w:cs="Arial"/>
        </w:rPr>
      </w:pPr>
      <w:r>
        <w:rPr>
          <w:rFonts w:ascii="Arial" w:hAnsi="Arial" w:cs="Arial"/>
        </w:rPr>
        <w:t>RESULTS</w:t>
      </w:r>
    </w:p>
    <w:p w:rsidR="0004204A" w:rsidRDefault="0004204A" w:rsidP="0004204A">
      <w:pPr>
        <w:pStyle w:val="APA"/>
        <w:ind w:firstLine="0"/>
        <w:rPr>
          <w:rFonts w:ascii="Arial" w:hAnsi="Arial" w:cs="Arial"/>
        </w:rPr>
      </w:pPr>
      <w:r>
        <w:rPr>
          <w:rFonts w:ascii="Arial" w:hAnsi="Arial" w:cs="Arial"/>
          <w:u w:val="single"/>
        </w:rPr>
        <w:t>Basic Results</w:t>
      </w:r>
    </w:p>
    <w:p w:rsidR="0004204A" w:rsidRDefault="0004204A" w:rsidP="0004204A">
      <w:pPr>
        <w:pStyle w:val="APA"/>
        <w:ind w:firstLine="0"/>
        <w:rPr>
          <w:rFonts w:ascii="Arial" w:hAnsi="Arial" w:cs="Arial"/>
        </w:rPr>
      </w:pPr>
      <w:r>
        <w:rPr>
          <w:rFonts w:ascii="Arial" w:hAnsi="Arial" w:cs="Arial"/>
        </w:rPr>
        <w:t>Gender            Male=6 (30%)</w:t>
      </w:r>
      <w:r>
        <w:rPr>
          <w:rFonts w:ascii="Arial" w:hAnsi="Arial" w:cs="Arial"/>
        </w:rPr>
        <w:tab/>
      </w:r>
      <w:r>
        <w:rPr>
          <w:rFonts w:ascii="Arial" w:hAnsi="Arial" w:cs="Arial"/>
        </w:rPr>
        <w:tab/>
        <w:t>Female=14 (70%)</w:t>
      </w:r>
    </w:p>
    <w:p w:rsidR="0004204A" w:rsidRDefault="0004204A" w:rsidP="0004204A">
      <w:pPr>
        <w:pStyle w:val="APA"/>
        <w:ind w:firstLine="0"/>
        <w:rPr>
          <w:rFonts w:ascii="Arial" w:hAnsi="Arial" w:cs="Arial"/>
        </w:rPr>
      </w:pPr>
      <w:r>
        <w:rPr>
          <w:rFonts w:ascii="Arial" w:hAnsi="Arial" w:cs="Arial"/>
        </w:rPr>
        <w:t xml:space="preserve">Acuity </w:t>
      </w:r>
      <w:r>
        <w:rPr>
          <w:rFonts w:ascii="Arial" w:hAnsi="Arial" w:cs="Arial"/>
        </w:rPr>
        <w:tab/>
        <w:t xml:space="preserve">  Non-urgent=0 (0%)   Less-urgent=9 (45%)   Urgent=11 (55%)</w:t>
      </w:r>
    </w:p>
    <w:p w:rsidR="0004204A" w:rsidRDefault="0004204A" w:rsidP="0004204A">
      <w:pPr>
        <w:pStyle w:val="APA"/>
        <w:ind w:firstLine="0"/>
        <w:rPr>
          <w:rFonts w:ascii="Arial" w:hAnsi="Arial" w:cs="Arial"/>
        </w:rPr>
      </w:pPr>
      <w:r>
        <w:rPr>
          <w:rFonts w:ascii="Arial" w:hAnsi="Arial" w:cs="Arial"/>
        </w:rPr>
        <w:tab/>
        <w:t xml:space="preserve">             Emergent= 0 (0%)    Immediate=0 (0%)</w:t>
      </w:r>
    </w:p>
    <w:p w:rsidR="0004204A" w:rsidRDefault="0004204A" w:rsidP="0004204A">
      <w:pPr>
        <w:pStyle w:val="APA"/>
        <w:ind w:firstLine="0"/>
        <w:rPr>
          <w:rFonts w:ascii="Arial" w:hAnsi="Arial" w:cs="Arial"/>
        </w:rPr>
      </w:pPr>
      <w:r>
        <w:rPr>
          <w:rFonts w:ascii="Arial" w:hAnsi="Arial" w:cs="Arial"/>
        </w:rPr>
        <w:t>Complaint</w:t>
      </w:r>
      <w:r>
        <w:rPr>
          <w:rFonts w:ascii="Arial" w:hAnsi="Arial" w:cs="Arial"/>
        </w:rPr>
        <w:tab/>
        <w:t xml:space="preserve">  Dental Pain=3 (15%)   Abdominal Pain=3 (15%)  Cough=4 (20%)</w:t>
      </w:r>
    </w:p>
    <w:p w:rsidR="0004204A" w:rsidRDefault="0004204A" w:rsidP="0004204A">
      <w:pPr>
        <w:pStyle w:val="APA"/>
        <w:ind w:firstLine="0"/>
        <w:rPr>
          <w:rFonts w:ascii="Arial" w:hAnsi="Arial" w:cs="Arial"/>
        </w:rPr>
      </w:pPr>
      <w:r>
        <w:rPr>
          <w:rFonts w:ascii="Arial" w:hAnsi="Arial" w:cs="Arial"/>
        </w:rPr>
        <w:t xml:space="preserve">                       Fever=4 (20%)   Breathing Problem=5 (25%)  Chest Pain=1 (5%)</w:t>
      </w:r>
    </w:p>
    <w:p w:rsidR="0004204A" w:rsidRDefault="0004204A" w:rsidP="0004204A">
      <w:pPr>
        <w:pStyle w:val="APA"/>
        <w:ind w:firstLine="0"/>
        <w:rPr>
          <w:rFonts w:ascii="Arial" w:hAnsi="Arial" w:cs="Arial"/>
        </w:rPr>
      </w:pPr>
      <w:r>
        <w:rPr>
          <w:rFonts w:ascii="Arial" w:hAnsi="Arial" w:cs="Arial"/>
        </w:rPr>
        <w:t>Disposition     Discharge=17 (85%)   Transfer=2 (10%)</w:t>
      </w:r>
    </w:p>
    <w:p w:rsidR="0004204A" w:rsidRDefault="0004204A" w:rsidP="0004204A">
      <w:pPr>
        <w:pStyle w:val="APA"/>
        <w:ind w:firstLine="0"/>
        <w:rPr>
          <w:rFonts w:ascii="Arial" w:hAnsi="Arial" w:cs="Arial"/>
        </w:rPr>
      </w:pPr>
      <w:r>
        <w:rPr>
          <w:rFonts w:ascii="Arial" w:hAnsi="Arial" w:cs="Arial"/>
        </w:rPr>
        <w:t xml:space="preserve">                                Left against medical advice=1(5%)</w:t>
      </w:r>
    </w:p>
    <w:p w:rsidR="0004204A" w:rsidRDefault="0004204A" w:rsidP="0004204A">
      <w:pPr>
        <w:pStyle w:val="APA"/>
        <w:ind w:firstLine="0"/>
        <w:rPr>
          <w:rFonts w:ascii="Arial" w:hAnsi="Arial" w:cs="Arial"/>
        </w:rPr>
      </w:pPr>
      <w:r>
        <w:rPr>
          <w:rFonts w:ascii="Arial" w:hAnsi="Arial" w:cs="Arial"/>
        </w:rPr>
        <w:t xml:space="preserve">Length of </w:t>
      </w:r>
      <w:proofErr w:type="gramStart"/>
      <w:r>
        <w:rPr>
          <w:rFonts w:ascii="Arial" w:hAnsi="Arial" w:cs="Arial"/>
        </w:rPr>
        <w:t>Stay  0</w:t>
      </w:r>
      <w:proofErr w:type="gramEnd"/>
      <w:r>
        <w:rPr>
          <w:rFonts w:ascii="Arial" w:hAnsi="Arial" w:cs="Arial"/>
        </w:rPr>
        <w:t xml:space="preserve">-1 hour=5 (25%)   1-2 hour=7 (35%)  2-3 hour=5 (25%)  </w:t>
      </w:r>
    </w:p>
    <w:p w:rsidR="0004204A" w:rsidRDefault="0004204A" w:rsidP="0004204A">
      <w:pPr>
        <w:pStyle w:val="APA"/>
        <w:ind w:left="1440"/>
        <w:rPr>
          <w:rFonts w:ascii="Arial" w:hAnsi="Arial" w:cs="Arial"/>
        </w:rPr>
      </w:pPr>
      <w:proofErr w:type="gramStart"/>
      <w:r>
        <w:rPr>
          <w:rFonts w:ascii="Arial" w:hAnsi="Arial" w:cs="Arial"/>
        </w:rPr>
        <w:t>over</w:t>
      </w:r>
      <w:proofErr w:type="gramEnd"/>
      <w:r>
        <w:rPr>
          <w:rFonts w:ascii="Arial" w:hAnsi="Arial" w:cs="Arial"/>
        </w:rPr>
        <w:t xml:space="preserve"> 3 hour=3(15%)</w:t>
      </w:r>
    </w:p>
    <w:p w:rsidR="0004204A" w:rsidRDefault="0004204A" w:rsidP="0004204A">
      <w:pPr>
        <w:pStyle w:val="APA"/>
        <w:ind w:firstLine="0"/>
        <w:rPr>
          <w:rFonts w:ascii="Arial" w:hAnsi="Arial" w:cs="Arial"/>
        </w:rPr>
      </w:pPr>
      <w:r>
        <w:rPr>
          <w:rFonts w:ascii="Arial" w:hAnsi="Arial" w:cs="Arial"/>
        </w:rPr>
        <w:t xml:space="preserve">Pain Score  </w:t>
      </w:r>
      <w:r w:rsidR="004975C2">
        <w:rPr>
          <w:rFonts w:ascii="Arial" w:hAnsi="Arial" w:cs="Arial"/>
        </w:rPr>
        <w:t xml:space="preserve">   </w:t>
      </w:r>
      <w:r>
        <w:rPr>
          <w:rFonts w:ascii="Arial" w:hAnsi="Arial" w:cs="Arial"/>
        </w:rPr>
        <w:t>0=4 (20%</w:t>
      </w:r>
      <w:proofErr w:type="gramStart"/>
      <w:r>
        <w:rPr>
          <w:rFonts w:ascii="Arial" w:hAnsi="Arial" w:cs="Arial"/>
        </w:rPr>
        <w:t>)</w:t>
      </w:r>
      <w:r w:rsidR="004975C2">
        <w:rPr>
          <w:rFonts w:ascii="Arial" w:hAnsi="Arial" w:cs="Arial"/>
        </w:rPr>
        <w:t xml:space="preserve">  1</w:t>
      </w:r>
      <w:proofErr w:type="gramEnd"/>
      <w:r w:rsidR="004975C2">
        <w:rPr>
          <w:rFonts w:ascii="Arial" w:hAnsi="Arial" w:cs="Arial"/>
        </w:rPr>
        <w:t>=0(0%) 2=1 (5%) 3=0 (0%) 4=0(0%) 5=1 (5%)</w:t>
      </w:r>
    </w:p>
    <w:p w:rsidR="004975C2" w:rsidRDefault="004975C2" w:rsidP="0004204A">
      <w:pPr>
        <w:pStyle w:val="APA"/>
        <w:ind w:firstLine="0"/>
        <w:rPr>
          <w:rFonts w:ascii="Arial" w:hAnsi="Arial" w:cs="Arial"/>
        </w:rPr>
      </w:pPr>
      <w:r>
        <w:rPr>
          <w:rFonts w:ascii="Arial" w:hAnsi="Arial" w:cs="Arial"/>
        </w:rPr>
        <w:t xml:space="preserve">                       6=3 (15%</w:t>
      </w:r>
      <w:proofErr w:type="gramStart"/>
      <w:r>
        <w:rPr>
          <w:rFonts w:ascii="Arial" w:hAnsi="Arial" w:cs="Arial"/>
        </w:rPr>
        <w:t>)  7</w:t>
      </w:r>
      <w:proofErr w:type="gramEnd"/>
      <w:r>
        <w:rPr>
          <w:rFonts w:ascii="Arial" w:hAnsi="Arial" w:cs="Arial"/>
        </w:rPr>
        <w:t>=3 (15%) 8=2 (10%) 9=2(10%) 10=4 (20%)</w:t>
      </w:r>
    </w:p>
    <w:p w:rsidR="004975C2" w:rsidRDefault="004975C2" w:rsidP="0004204A">
      <w:pPr>
        <w:pStyle w:val="APA"/>
        <w:ind w:firstLine="0"/>
        <w:rPr>
          <w:rFonts w:ascii="Arial" w:hAnsi="Arial" w:cs="Arial"/>
        </w:rPr>
      </w:pPr>
      <w:r>
        <w:rPr>
          <w:rFonts w:ascii="Arial" w:hAnsi="Arial" w:cs="Arial"/>
        </w:rPr>
        <w:t>Arrival Method      Car=19 (95%)   Ambulance=1 (5%)</w:t>
      </w:r>
    </w:p>
    <w:p w:rsidR="004975C2" w:rsidRPr="0004204A" w:rsidRDefault="004975C2" w:rsidP="0004204A">
      <w:pPr>
        <w:pStyle w:val="APA"/>
        <w:ind w:firstLine="0"/>
        <w:rPr>
          <w:rFonts w:ascii="Arial" w:hAnsi="Arial" w:cs="Arial"/>
        </w:rPr>
      </w:pPr>
      <w:r>
        <w:rPr>
          <w:rFonts w:ascii="Arial" w:hAnsi="Arial" w:cs="Arial"/>
        </w:rPr>
        <w:t>Insurance               Yes=11 (55%)    No=9 (45%)</w:t>
      </w:r>
    </w:p>
    <w:p w:rsidR="0080048A" w:rsidRDefault="0080048A" w:rsidP="004975C2">
      <w:pPr>
        <w:spacing w:line="480" w:lineRule="auto"/>
        <w:ind w:firstLine="720"/>
        <w:rPr>
          <w:rFonts w:ascii="Arial" w:hAnsi="Arial" w:cs="Arial"/>
          <w:sz w:val="24"/>
          <w:szCs w:val="24"/>
        </w:rPr>
      </w:pPr>
      <w:r>
        <w:rPr>
          <w:rFonts w:ascii="Arial" w:hAnsi="Arial" w:cs="Arial"/>
          <w:sz w:val="24"/>
          <w:szCs w:val="24"/>
        </w:rPr>
        <w:t xml:space="preserve">These results show us many things.  First of all no patients were classified as non-urgent, emergent or immediate.  Also none of the patients rated their pain scores on a level of 0, 1, 3 or 4.  </w:t>
      </w:r>
      <w:r w:rsidR="000F35FF">
        <w:rPr>
          <w:rFonts w:ascii="Arial" w:hAnsi="Arial" w:cs="Arial"/>
          <w:sz w:val="24"/>
          <w:szCs w:val="24"/>
        </w:rPr>
        <w:t xml:space="preserve">I found it interesting that the length of stay was spread out among the patients.  More patients arrived by private vehicle than by ambulance.  This </w:t>
      </w:r>
      <w:r w:rsidR="000F35FF">
        <w:rPr>
          <w:rFonts w:ascii="Arial" w:hAnsi="Arial" w:cs="Arial"/>
          <w:sz w:val="24"/>
          <w:szCs w:val="24"/>
        </w:rPr>
        <w:lastRenderedPageBreak/>
        <w:t xml:space="preserve">could be because most patients were not critical.  I also found it very interesting that 55% of the patients had insurance.  </w:t>
      </w:r>
    </w:p>
    <w:p w:rsidR="004975C2" w:rsidRPr="004975C2" w:rsidRDefault="002F656A" w:rsidP="004975C2">
      <w:pPr>
        <w:spacing w:line="480" w:lineRule="auto"/>
        <w:ind w:firstLine="720"/>
        <w:rPr>
          <w:sz w:val="24"/>
          <w:szCs w:val="24"/>
        </w:rPr>
      </w:pPr>
      <w:r w:rsidRPr="004975C2">
        <w:rPr>
          <w:rFonts w:ascii="Arial" w:hAnsi="Arial" w:cs="Arial"/>
          <w:sz w:val="24"/>
          <w:szCs w:val="24"/>
        </w:rPr>
        <w:t xml:space="preserve">The results of this study showed that a higher level of acuity affected to patient length of stay in the ER.  Of the sample </w:t>
      </w:r>
      <w:r w:rsidR="004975C2" w:rsidRPr="004975C2">
        <w:rPr>
          <w:rFonts w:ascii="Arial" w:hAnsi="Arial" w:cs="Arial"/>
          <w:sz w:val="24"/>
          <w:szCs w:val="24"/>
        </w:rPr>
        <w:t xml:space="preserve">the urgent patients had a 2-3 hour stay of 45.5%, while the less urgent had 0%.  The less urgent patient class had a 55.6% level in the 0-1 hour length of stay.  </w:t>
      </w:r>
      <w:r w:rsidR="0086472B">
        <w:rPr>
          <w:rFonts w:ascii="Arial" w:hAnsi="Arial" w:cs="Arial"/>
          <w:sz w:val="24"/>
          <w:szCs w:val="24"/>
        </w:rPr>
        <w:t xml:space="preserve">Below is the </w:t>
      </w:r>
      <w:r w:rsidR="00C8793A">
        <w:rPr>
          <w:rFonts w:ascii="Arial" w:hAnsi="Arial" w:cs="Arial"/>
          <w:sz w:val="24"/>
          <w:szCs w:val="24"/>
        </w:rPr>
        <w:t>Chi-square test</w:t>
      </w:r>
      <w:r w:rsidR="0086472B">
        <w:rPr>
          <w:rFonts w:ascii="Arial" w:hAnsi="Arial" w:cs="Arial"/>
          <w:sz w:val="24"/>
          <w:szCs w:val="24"/>
        </w:rPr>
        <w:t xml:space="preserve"> showing </w:t>
      </w:r>
      <w:r w:rsidR="002B7A00">
        <w:rPr>
          <w:rFonts w:ascii="Arial" w:hAnsi="Arial" w:cs="Arial"/>
          <w:sz w:val="24"/>
          <w:szCs w:val="24"/>
        </w:rPr>
        <w:t>significance of acuity and length of stay.</w:t>
      </w:r>
      <w:r w:rsidR="0086472B">
        <w:rPr>
          <w:rFonts w:ascii="Arial" w:hAnsi="Arial" w:cs="Arial"/>
          <w:sz w:val="24"/>
          <w:szCs w:val="24"/>
        </w:rPr>
        <w:t xml:space="preserve">  At a 0.05 alpha acuity and length of stay is significant with a value of 0.0</w:t>
      </w:r>
      <w:r w:rsidR="00C8793A">
        <w:rPr>
          <w:rFonts w:ascii="Arial" w:hAnsi="Arial" w:cs="Arial"/>
          <w:sz w:val="24"/>
          <w:szCs w:val="24"/>
        </w:rPr>
        <w:t xml:space="preserve">16.  </w:t>
      </w:r>
    </w:p>
    <w:p w:rsidR="00C8793A" w:rsidRPr="00C8793A" w:rsidRDefault="00C8793A" w:rsidP="00C8793A">
      <w:pPr>
        <w:overflowPunct/>
        <w:textAlignment w:val="auto"/>
        <w:rPr>
          <w:sz w:val="24"/>
          <w:szCs w:val="24"/>
        </w:rPr>
      </w:pPr>
    </w:p>
    <w:tbl>
      <w:tblPr>
        <w:tblW w:w="7363" w:type="dxa"/>
        <w:tblInd w:w="1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38"/>
        <w:gridCol w:w="1252"/>
        <w:gridCol w:w="1252"/>
        <w:gridCol w:w="1821"/>
      </w:tblGrid>
      <w:tr w:rsidR="00C8793A" w:rsidRPr="00C8793A" w:rsidTr="00C8793A">
        <w:trPr>
          <w:cantSplit/>
          <w:trHeight w:val="331"/>
        </w:trPr>
        <w:tc>
          <w:tcPr>
            <w:tcW w:w="7363" w:type="dxa"/>
            <w:gridSpan w:val="4"/>
            <w:tcBorders>
              <w:top w:val="nil"/>
              <w:left w:val="nil"/>
              <w:bottom w:val="nil"/>
              <w:right w:val="nil"/>
            </w:tcBorders>
            <w:shd w:val="clear" w:color="auto" w:fill="FFFFFF"/>
          </w:tcPr>
          <w:p w:rsidR="00C8793A" w:rsidRPr="00C8793A" w:rsidRDefault="00C8793A" w:rsidP="00C8793A">
            <w:pPr>
              <w:overflowPunct/>
              <w:spacing w:line="320" w:lineRule="atLeast"/>
              <w:ind w:left="60" w:right="60"/>
              <w:jc w:val="center"/>
              <w:textAlignment w:val="auto"/>
              <w:rPr>
                <w:rFonts w:ascii="Arial" w:hAnsi="Arial" w:cs="Arial"/>
                <w:color w:val="000000"/>
                <w:sz w:val="18"/>
                <w:szCs w:val="18"/>
              </w:rPr>
            </w:pPr>
            <w:r w:rsidRPr="00C8793A">
              <w:rPr>
                <w:rFonts w:ascii="Arial" w:hAnsi="Arial" w:cs="Arial"/>
                <w:b/>
                <w:bCs/>
                <w:color w:val="000000"/>
                <w:sz w:val="18"/>
                <w:szCs w:val="18"/>
              </w:rPr>
              <w:t>Chi-Square Tests</w:t>
            </w:r>
            <w:r>
              <w:rPr>
                <w:rFonts w:ascii="Arial" w:hAnsi="Arial" w:cs="Arial"/>
                <w:b/>
                <w:bCs/>
                <w:color w:val="000000"/>
                <w:sz w:val="18"/>
                <w:szCs w:val="18"/>
              </w:rPr>
              <w:t xml:space="preserve">  </w:t>
            </w:r>
            <w:r w:rsidR="002B7A00">
              <w:rPr>
                <w:rFonts w:ascii="Arial" w:hAnsi="Arial" w:cs="Arial"/>
                <w:b/>
                <w:bCs/>
                <w:color w:val="000000"/>
                <w:sz w:val="18"/>
                <w:szCs w:val="18"/>
              </w:rPr>
              <w:t>Disposition</w:t>
            </w:r>
          </w:p>
        </w:tc>
      </w:tr>
      <w:tr w:rsidR="00C8793A" w:rsidRPr="00C8793A" w:rsidTr="00C8793A">
        <w:trPr>
          <w:cantSplit/>
          <w:trHeight w:val="662"/>
        </w:trPr>
        <w:tc>
          <w:tcPr>
            <w:tcW w:w="3038" w:type="dxa"/>
            <w:tcBorders>
              <w:top w:val="single" w:sz="16" w:space="0" w:color="000000"/>
              <w:left w:val="single" w:sz="16" w:space="0" w:color="000000"/>
              <w:bottom w:val="single" w:sz="16" w:space="0" w:color="000000"/>
              <w:right w:val="single" w:sz="16" w:space="0" w:color="000000"/>
            </w:tcBorders>
            <w:shd w:val="clear" w:color="auto" w:fill="FFFFFF"/>
          </w:tcPr>
          <w:p w:rsidR="00C8793A" w:rsidRPr="00C8793A" w:rsidRDefault="00C8793A" w:rsidP="00C8793A">
            <w:pPr>
              <w:overflowPunct/>
              <w:spacing w:line="320" w:lineRule="atLeast"/>
              <w:ind w:left="60" w:right="60"/>
              <w:textAlignment w:val="auto"/>
              <w:rPr>
                <w:rFonts w:ascii="Arial" w:hAnsi="Arial" w:cs="Arial"/>
                <w:color w:val="000000"/>
                <w:sz w:val="18"/>
                <w:szCs w:val="18"/>
              </w:rPr>
            </w:pPr>
          </w:p>
        </w:tc>
        <w:tc>
          <w:tcPr>
            <w:tcW w:w="1252" w:type="dxa"/>
            <w:tcBorders>
              <w:top w:val="single" w:sz="16" w:space="0" w:color="000000"/>
              <w:left w:val="single" w:sz="16" w:space="0" w:color="000000"/>
              <w:bottom w:val="single" w:sz="16" w:space="0" w:color="000000"/>
            </w:tcBorders>
            <w:shd w:val="clear" w:color="auto" w:fill="FFFFFF"/>
          </w:tcPr>
          <w:p w:rsidR="00C8793A" w:rsidRPr="00C8793A" w:rsidRDefault="00C8793A" w:rsidP="00C8793A">
            <w:pPr>
              <w:overflowPunct/>
              <w:spacing w:line="320" w:lineRule="atLeast"/>
              <w:ind w:left="60" w:right="60"/>
              <w:jc w:val="center"/>
              <w:textAlignment w:val="auto"/>
              <w:rPr>
                <w:rFonts w:ascii="Arial" w:hAnsi="Arial" w:cs="Arial"/>
                <w:color w:val="000000"/>
                <w:sz w:val="18"/>
                <w:szCs w:val="18"/>
              </w:rPr>
            </w:pPr>
            <w:r w:rsidRPr="00C8793A">
              <w:rPr>
                <w:rFonts w:ascii="Arial" w:hAnsi="Arial" w:cs="Arial"/>
                <w:color w:val="000000"/>
                <w:sz w:val="18"/>
                <w:szCs w:val="18"/>
              </w:rPr>
              <w:t>Value</w:t>
            </w:r>
          </w:p>
        </w:tc>
        <w:tc>
          <w:tcPr>
            <w:tcW w:w="1252" w:type="dxa"/>
            <w:tcBorders>
              <w:top w:val="single" w:sz="16" w:space="0" w:color="000000"/>
              <w:bottom w:val="single" w:sz="16" w:space="0" w:color="000000"/>
            </w:tcBorders>
            <w:shd w:val="clear" w:color="auto" w:fill="FFFFFF"/>
          </w:tcPr>
          <w:p w:rsidR="00C8793A" w:rsidRPr="00C8793A" w:rsidRDefault="00C8793A" w:rsidP="00C8793A">
            <w:pPr>
              <w:overflowPunct/>
              <w:spacing w:line="320" w:lineRule="atLeast"/>
              <w:ind w:left="60" w:right="60"/>
              <w:jc w:val="center"/>
              <w:textAlignment w:val="auto"/>
              <w:rPr>
                <w:rFonts w:ascii="Arial" w:hAnsi="Arial" w:cs="Arial"/>
                <w:color w:val="000000"/>
                <w:sz w:val="18"/>
                <w:szCs w:val="18"/>
              </w:rPr>
            </w:pPr>
            <w:proofErr w:type="spellStart"/>
            <w:r w:rsidRPr="00C8793A">
              <w:rPr>
                <w:rFonts w:ascii="Arial" w:hAnsi="Arial" w:cs="Arial"/>
                <w:color w:val="000000"/>
                <w:sz w:val="18"/>
                <w:szCs w:val="18"/>
              </w:rPr>
              <w:t>df</w:t>
            </w:r>
            <w:proofErr w:type="spellEnd"/>
          </w:p>
        </w:tc>
        <w:tc>
          <w:tcPr>
            <w:tcW w:w="1821" w:type="dxa"/>
            <w:tcBorders>
              <w:top w:val="single" w:sz="16" w:space="0" w:color="000000"/>
              <w:bottom w:val="single" w:sz="16" w:space="0" w:color="000000"/>
              <w:right w:val="single" w:sz="16" w:space="0" w:color="000000"/>
            </w:tcBorders>
            <w:shd w:val="clear" w:color="auto" w:fill="FFFFFF"/>
          </w:tcPr>
          <w:p w:rsidR="00C8793A" w:rsidRPr="00C8793A" w:rsidRDefault="00C8793A" w:rsidP="00C8793A">
            <w:pPr>
              <w:overflowPunct/>
              <w:spacing w:line="320" w:lineRule="atLeast"/>
              <w:ind w:left="60" w:right="60"/>
              <w:jc w:val="center"/>
              <w:textAlignment w:val="auto"/>
              <w:rPr>
                <w:rFonts w:ascii="Arial" w:hAnsi="Arial" w:cs="Arial"/>
                <w:color w:val="000000"/>
                <w:sz w:val="18"/>
                <w:szCs w:val="18"/>
              </w:rPr>
            </w:pPr>
            <w:proofErr w:type="spellStart"/>
            <w:r w:rsidRPr="00C8793A">
              <w:rPr>
                <w:rFonts w:ascii="Arial" w:hAnsi="Arial" w:cs="Arial"/>
                <w:color w:val="000000"/>
                <w:sz w:val="18"/>
                <w:szCs w:val="18"/>
              </w:rPr>
              <w:t>Asymp</w:t>
            </w:r>
            <w:proofErr w:type="spellEnd"/>
            <w:r w:rsidRPr="00C8793A">
              <w:rPr>
                <w:rFonts w:ascii="Arial" w:hAnsi="Arial" w:cs="Arial"/>
                <w:color w:val="000000"/>
                <w:sz w:val="18"/>
                <w:szCs w:val="18"/>
              </w:rPr>
              <w:t>. Sig. (2-sided)</w:t>
            </w:r>
          </w:p>
        </w:tc>
      </w:tr>
      <w:tr w:rsidR="00C8793A" w:rsidRPr="00C8793A" w:rsidTr="00C8793A">
        <w:trPr>
          <w:cantSplit/>
          <w:trHeight w:val="331"/>
        </w:trPr>
        <w:tc>
          <w:tcPr>
            <w:tcW w:w="3038" w:type="dxa"/>
            <w:tcBorders>
              <w:top w:val="single" w:sz="16" w:space="0" w:color="000000"/>
              <w:left w:val="single" w:sz="16" w:space="0" w:color="000000"/>
              <w:bottom w:val="nil"/>
              <w:right w:val="single" w:sz="16" w:space="0" w:color="000000"/>
            </w:tcBorders>
            <w:shd w:val="clear" w:color="auto" w:fill="FFFFFF"/>
            <w:vAlign w:val="center"/>
          </w:tcPr>
          <w:p w:rsidR="00C8793A" w:rsidRPr="00C8793A" w:rsidRDefault="00C8793A" w:rsidP="00C8793A">
            <w:pPr>
              <w:overflowPunct/>
              <w:spacing w:line="320" w:lineRule="atLeast"/>
              <w:ind w:left="60" w:right="60"/>
              <w:textAlignment w:val="auto"/>
              <w:rPr>
                <w:rFonts w:ascii="Arial" w:hAnsi="Arial" w:cs="Arial"/>
                <w:color w:val="000000"/>
                <w:sz w:val="18"/>
                <w:szCs w:val="18"/>
              </w:rPr>
            </w:pPr>
            <w:r w:rsidRPr="00C8793A">
              <w:rPr>
                <w:rFonts w:ascii="Arial" w:hAnsi="Arial" w:cs="Arial"/>
                <w:color w:val="000000"/>
                <w:sz w:val="18"/>
                <w:szCs w:val="18"/>
              </w:rPr>
              <w:t>Pearson Chi-Square</w:t>
            </w:r>
          </w:p>
        </w:tc>
        <w:tc>
          <w:tcPr>
            <w:tcW w:w="1252" w:type="dxa"/>
            <w:tcBorders>
              <w:top w:val="single" w:sz="16" w:space="0" w:color="000000"/>
              <w:left w:val="single" w:sz="16" w:space="0" w:color="000000"/>
              <w:bottom w:val="nil"/>
            </w:tcBorders>
            <w:shd w:val="clear" w:color="auto" w:fill="FFFFFF"/>
            <w:vAlign w:val="center"/>
          </w:tcPr>
          <w:p w:rsidR="00C8793A" w:rsidRPr="00C8793A" w:rsidRDefault="00C8793A" w:rsidP="00C8793A">
            <w:pPr>
              <w:overflowPunct/>
              <w:spacing w:line="320" w:lineRule="atLeast"/>
              <w:ind w:left="60" w:right="60"/>
              <w:jc w:val="right"/>
              <w:textAlignment w:val="auto"/>
              <w:rPr>
                <w:rFonts w:ascii="Arial" w:hAnsi="Arial" w:cs="Arial"/>
                <w:color w:val="000000"/>
                <w:sz w:val="18"/>
                <w:szCs w:val="18"/>
              </w:rPr>
            </w:pPr>
            <w:r w:rsidRPr="00C8793A">
              <w:rPr>
                <w:rFonts w:ascii="Arial" w:hAnsi="Arial" w:cs="Arial"/>
                <w:color w:val="000000"/>
                <w:sz w:val="18"/>
                <w:szCs w:val="18"/>
              </w:rPr>
              <w:t>10.380</w:t>
            </w:r>
            <w:r w:rsidRPr="00C8793A">
              <w:rPr>
                <w:rFonts w:ascii="Arial" w:hAnsi="Arial" w:cs="Arial"/>
                <w:color w:val="000000"/>
                <w:sz w:val="18"/>
                <w:szCs w:val="18"/>
                <w:vertAlign w:val="superscript"/>
              </w:rPr>
              <w:t>a</w:t>
            </w:r>
          </w:p>
        </w:tc>
        <w:tc>
          <w:tcPr>
            <w:tcW w:w="1252" w:type="dxa"/>
            <w:tcBorders>
              <w:top w:val="single" w:sz="16" w:space="0" w:color="000000"/>
              <w:bottom w:val="nil"/>
            </w:tcBorders>
            <w:shd w:val="clear" w:color="auto" w:fill="FFFFFF"/>
            <w:vAlign w:val="center"/>
          </w:tcPr>
          <w:p w:rsidR="00C8793A" w:rsidRPr="00C8793A" w:rsidRDefault="00C8793A" w:rsidP="00C8793A">
            <w:pPr>
              <w:overflowPunct/>
              <w:spacing w:line="320" w:lineRule="atLeast"/>
              <w:ind w:left="60" w:right="60"/>
              <w:jc w:val="right"/>
              <w:textAlignment w:val="auto"/>
              <w:rPr>
                <w:rFonts w:ascii="Arial" w:hAnsi="Arial" w:cs="Arial"/>
                <w:color w:val="000000"/>
                <w:sz w:val="18"/>
                <w:szCs w:val="18"/>
              </w:rPr>
            </w:pPr>
            <w:r w:rsidRPr="00C8793A">
              <w:rPr>
                <w:rFonts w:ascii="Arial" w:hAnsi="Arial" w:cs="Arial"/>
                <w:color w:val="000000"/>
                <w:sz w:val="18"/>
                <w:szCs w:val="18"/>
              </w:rPr>
              <w:t>3</w:t>
            </w:r>
          </w:p>
        </w:tc>
        <w:tc>
          <w:tcPr>
            <w:tcW w:w="1821" w:type="dxa"/>
            <w:tcBorders>
              <w:top w:val="single" w:sz="16" w:space="0" w:color="000000"/>
              <w:bottom w:val="nil"/>
              <w:right w:val="single" w:sz="16" w:space="0" w:color="000000"/>
            </w:tcBorders>
            <w:shd w:val="clear" w:color="auto" w:fill="FFFFFF"/>
            <w:vAlign w:val="center"/>
          </w:tcPr>
          <w:p w:rsidR="00C8793A" w:rsidRPr="00C8793A" w:rsidRDefault="00C8793A" w:rsidP="00C8793A">
            <w:pPr>
              <w:overflowPunct/>
              <w:spacing w:line="320" w:lineRule="atLeast"/>
              <w:ind w:left="60" w:right="60"/>
              <w:jc w:val="right"/>
              <w:textAlignment w:val="auto"/>
              <w:rPr>
                <w:rFonts w:ascii="Arial" w:hAnsi="Arial" w:cs="Arial"/>
                <w:color w:val="000000"/>
                <w:sz w:val="18"/>
                <w:szCs w:val="18"/>
              </w:rPr>
            </w:pPr>
            <w:r w:rsidRPr="00C8793A">
              <w:rPr>
                <w:rFonts w:ascii="Arial" w:hAnsi="Arial" w:cs="Arial"/>
                <w:color w:val="000000"/>
                <w:sz w:val="18"/>
                <w:szCs w:val="18"/>
              </w:rPr>
              <w:t>.016</w:t>
            </w:r>
          </w:p>
        </w:tc>
      </w:tr>
      <w:tr w:rsidR="00C8793A" w:rsidRPr="00C8793A" w:rsidTr="00C8793A">
        <w:trPr>
          <w:cantSplit/>
          <w:trHeight w:val="347"/>
        </w:trPr>
        <w:tc>
          <w:tcPr>
            <w:tcW w:w="3038" w:type="dxa"/>
            <w:tcBorders>
              <w:top w:val="nil"/>
              <w:left w:val="single" w:sz="16" w:space="0" w:color="000000"/>
              <w:bottom w:val="nil"/>
              <w:right w:val="single" w:sz="16" w:space="0" w:color="000000"/>
            </w:tcBorders>
            <w:shd w:val="clear" w:color="auto" w:fill="FFFFFF"/>
            <w:vAlign w:val="center"/>
          </w:tcPr>
          <w:p w:rsidR="00C8793A" w:rsidRPr="00C8793A" w:rsidRDefault="00C8793A" w:rsidP="00C8793A">
            <w:pPr>
              <w:overflowPunct/>
              <w:spacing w:line="320" w:lineRule="atLeast"/>
              <w:ind w:left="60" w:right="60"/>
              <w:textAlignment w:val="auto"/>
              <w:rPr>
                <w:rFonts w:ascii="Arial" w:hAnsi="Arial" w:cs="Arial"/>
                <w:color w:val="000000"/>
                <w:sz w:val="18"/>
                <w:szCs w:val="18"/>
              </w:rPr>
            </w:pPr>
            <w:r w:rsidRPr="00C8793A">
              <w:rPr>
                <w:rFonts w:ascii="Arial" w:hAnsi="Arial" w:cs="Arial"/>
                <w:color w:val="000000"/>
                <w:sz w:val="18"/>
                <w:szCs w:val="18"/>
              </w:rPr>
              <w:t>Likelihood Ratio</w:t>
            </w:r>
          </w:p>
        </w:tc>
        <w:tc>
          <w:tcPr>
            <w:tcW w:w="1252" w:type="dxa"/>
            <w:tcBorders>
              <w:top w:val="nil"/>
              <w:left w:val="single" w:sz="16" w:space="0" w:color="000000"/>
              <w:bottom w:val="nil"/>
            </w:tcBorders>
            <w:shd w:val="clear" w:color="auto" w:fill="FFFFFF"/>
            <w:vAlign w:val="center"/>
          </w:tcPr>
          <w:p w:rsidR="00C8793A" w:rsidRPr="00C8793A" w:rsidRDefault="00C8793A" w:rsidP="00C8793A">
            <w:pPr>
              <w:overflowPunct/>
              <w:spacing w:line="320" w:lineRule="atLeast"/>
              <w:ind w:left="60" w:right="60"/>
              <w:jc w:val="right"/>
              <w:textAlignment w:val="auto"/>
              <w:rPr>
                <w:rFonts w:ascii="Arial" w:hAnsi="Arial" w:cs="Arial"/>
                <w:color w:val="000000"/>
                <w:sz w:val="18"/>
                <w:szCs w:val="18"/>
              </w:rPr>
            </w:pPr>
            <w:r w:rsidRPr="00C8793A">
              <w:rPr>
                <w:rFonts w:ascii="Arial" w:hAnsi="Arial" w:cs="Arial"/>
                <w:color w:val="000000"/>
                <w:sz w:val="18"/>
                <w:szCs w:val="18"/>
              </w:rPr>
              <w:t>14.146</w:t>
            </w:r>
          </w:p>
        </w:tc>
        <w:tc>
          <w:tcPr>
            <w:tcW w:w="1252" w:type="dxa"/>
            <w:tcBorders>
              <w:top w:val="nil"/>
              <w:bottom w:val="nil"/>
            </w:tcBorders>
            <w:shd w:val="clear" w:color="auto" w:fill="FFFFFF"/>
            <w:vAlign w:val="center"/>
          </w:tcPr>
          <w:p w:rsidR="00C8793A" w:rsidRPr="00C8793A" w:rsidRDefault="00C8793A" w:rsidP="00C8793A">
            <w:pPr>
              <w:overflowPunct/>
              <w:spacing w:line="320" w:lineRule="atLeast"/>
              <w:ind w:left="60" w:right="60"/>
              <w:jc w:val="right"/>
              <w:textAlignment w:val="auto"/>
              <w:rPr>
                <w:rFonts w:ascii="Arial" w:hAnsi="Arial" w:cs="Arial"/>
                <w:color w:val="000000"/>
                <w:sz w:val="18"/>
                <w:szCs w:val="18"/>
              </w:rPr>
            </w:pPr>
            <w:r w:rsidRPr="00C8793A">
              <w:rPr>
                <w:rFonts w:ascii="Arial" w:hAnsi="Arial" w:cs="Arial"/>
                <w:color w:val="000000"/>
                <w:sz w:val="18"/>
                <w:szCs w:val="18"/>
              </w:rPr>
              <w:t>3</w:t>
            </w:r>
          </w:p>
        </w:tc>
        <w:tc>
          <w:tcPr>
            <w:tcW w:w="1821" w:type="dxa"/>
            <w:tcBorders>
              <w:top w:val="nil"/>
              <w:bottom w:val="nil"/>
              <w:right w:val="single" w:sz="16" w:space="0" w:color="000000"/>
            </w:tcBorders>
            <w:shd w:val="clear" w:color="auto" w:fill="FFFFFF"/>
            <w:vAlign w:val="center"/>
          </w:tcPr>
          <w:p w:rsidR="00C8793A" w:rsidRPr="00C8793A" w:rsidRDefault="00C8793A" w:rsidP="00C8793A">
            <w:pPr>
              <w:overflowPunct/>
              <w:spacing w:line="320" w:lineRule="atLeast"/>
              <w:ind w:left="60" w:right="60"/>
              <w:jc w:val="right"/>
              <w:textAlignment w:val="auto"/>
              <w:rPr>
                <w:rFonts w:ascii="Arial" w:hAnsi="Arial" w:cs="Arial"/>
                <w:color w:val="000000"/>
                <w:sz w:val="18"/>
                <w:szCs w:val="18"/>
              </w:rPr>
            </w:pPr>
            <w:r w:rsidRPr="00C8793A">
              <w:rPr>
                <w:rFonts w:ascii="Arial" w:hAnsi="Arial" w:cs="Arial"/>
                <w:color w:val="000000"/>
                <w:sz w:val="18"/>
                <w:szCs w:val="18"/>
              </w:rPr>
              <w:t>.003</w:t>
            </w:r>
          </w:p>
        </w:tc>
      </w:tr>
      <w:tr w:rsidR="00C8793A" w:rsidRPr="00C8793A" w:rsidTr="00C8793A">
        <w:trPr>
          <w:cantSplit/>
          <w:trHeight w:val="331"/>
        </w:trPr>
        <w:tc>
          <w:tcPr>
            <w:tcW w:w="3038" w:type="dxa"/>
            <w:tcBorders>
              <w:top w:val="nil"/>
              <w:left w:val="single" w:sz="16" w:space="0" w:color="000000"/>
              <w:bottom w:val="nil"/>
              <w:right w:val="single" w:sz="16" w:space="0" w:color="000000"/>
            </w:tcBorders>
            <w:shd w:val="clear" w:color="auto" w:fill="FFFFFF"/>
            <w:vAlign w:val="center"/>
          </w:tcPr>
          <w:p w:rsidR="00C8793A" w:rsidRPr="00C8793A" w:rsidRDefault="00C8793A" w:rsidP="00C8793A">
            <w:pPr>
              <w:overflowPunct/>
              <w:spacing w:line="320" w:lineRule="atLeast"/>
              <w:ind w:left="60" w:right="60"/>
              <w:textAlignment w:val="auto"/>
              <w:rPr>
                <w:rFonts w:ascii="Arial" w:hAnsi="Arial" w:cs="Arial"/>
                <w:color w:val="000000"/>
                <w:sz w:val="18"/>
                <w:szCs w:val="18"/>
              </w:rPr>
            </w:pPr>
            <w:r w:rsidRPr="00C8793A">
              <w:rPr>
                <w:rFonts w:ascii="Arial" w:hAnsi="Arial" w:cs="Arial"/>
                <w:color w:val="000000"/>
                <w:sz w:val="18"/>
                <w:szCs w:val="18"/>
              </w:rPr>
              <w:t>Linear-by-Linear Association</w:t>
            </w:r>
          </w:p>
        </w:tc>
        <w:tc>
          <w:tcPr>
            <w:tcW w:w="1252" w:type="dxa"/>
            <w:tcBorders>
              <w:top w:val="nil"/>
              <w:left w:val="single" w:sz="16" w:space="0" w:color="000000"/>
              <w:bottom w:val="nil"/>
            </w:tcBorders>
            <w:shd w:val="clear" w:color="auto" w:fill="FFFFFF"/>
            <w:vAlign w:val="center"/>
          </w:tcPr>
          <w:p w:rsidR="00C8793A" w:rsidRPr="00C8793A" w:rsidRDefault="00C8793A" w:rsidP="00C8793A">
            <w:pPr>
              <w:overflowPunct/>
              <w:spacing w:line="320" w:lineRule="atLeast"/>
              <w:ind w:left="60" w:right="60"/>
              <w:jc w:val="right"/>
              <w:textAlignment w:val="auto"/>
              <w:rPr>
                <w:rFonts w:ascii="Arial" w:hAnsi="Arial" w:cs="Arial"/>
                <w:color w:val="000000"/>
                <w:sz w:val="18"/>
                <w:szCs w:val="18"/>
              </w:rPr>
            </w:pPr>
            <w:r w:rsidRPr="00C8793A">
              <w:rPr>
                <w:rFonts w:ascii="Arial" w:hAnsi="Arial" w:cs="Arial"/>
                <w:color w:val="000000"/>
                <w:sz w:val="18"/>
                <w:szCs w:val="18"/>
              </w:rPr>
              <w:t>6.174</w:t>
            </w:r>
          </w:p>
        </w:tc>
        <w:tc>
          <w:tcPr>
            <w:tcW w:w="1252" w:type="dxa"/>
            <w:tcBorders>
              <w:top w:val="nil"/>
              <w:bottom w:val="nil"/>
            </w:tcBorders>
            <w:shd w:val="clear" w:color="auto" w:fill="FFFFFF"/>
            <w:vAlign w:val="center"/>
          </w:tcPr>
          <w:p w:rsidR="00C8793A" w:rsidRPr="00C8793A" w:rsidRDefault="00C8793A" w:rsidP="00C8793A">
            <w:pPr>
              <w:overflowPunct/>
              <w:spacing w:line="320" w:lineRule="atLeast"/>
              <w:ind w:left="60" w:right="60"/>
              <w:jc w:val="right"/>
              <w:textAlignment w:val="auto"/>
              <w:rPr>
                <w:rFonts w:ascii="Arial" w:hAnsi="Arial" w:cs="Arial"/>
                <w:color w:val="000000"/>
                <w:sz w:val="18"/>
                <w:szCs w:val="18"/>
              </w:rPr>
            </w:pPr>
            <w:r w:rsidRPr="00C8793A">
              <w:rPr>
                <w:rFonts w:ascii="Arial" w:hAnsi="Arial" w:cs="Arial"/>
                <w:color w:val="000000"/>
                <w:sz w:val="18"/>
                <w:szCs w:val="18"/>
              </w:rPr>
              <w:t>1</w:t>
            </w:r>
          </w:p>
        </w:tc>
        <w:tc>
          <w:tcPr>
            <w:tcW w:w="1821" w:type="dxa"/>
            <w:tcBorders>
              <w:top w:val="nil"/>
              <w:bottom w:val="nil"/>
              <w:right w:val="single" w:sz="16" w:space="0" w:color="000000"/>
            </w:tcBorders>
            <w:shd w:val="clear" w:color="auto" w:fill="FFFFFF"/>
            <w:vAlign w:val="center"/>
          </w:tcPr>
          <w:p w:rsidR="00C8793A" w:rsidRPr="00C8793A" w:rsidRDefault="00C8793A" w:rsidP="00C8793A">
            <w:pPr>
              <w:overflowPunct/>
              <w:spacing w:line="320" w:lineRule="atLeast"/>
              <w:ind w:left="60" w:right="60"/>
              <w:jc w:val="right"/>
              <w:textAlignment w:val="auto"/>
              <w:rPr>
                <w:rFonts w:ascii="Arial" w:hAnsi="Arial" w:cs="Arial"/>
                <w:color w:val="000000"/>
                <w:sz w:val="18"/>
                <w:szCs w:val="18"/>
              </w:rPr>
            </w:pPr>
            <w:r w:rsidRPr="00C8793A">
              <w:rPr>
                <w:rFonts w:ascii="Arial" w:hAnsi="Arial" w:cs="Arial"/>
                <w:color w:val="000000"/>
                <w:sz w:val="18"/>
                <w:szCs w:val="18"/>
              </w:rPr>
              <w:t>.013</w:t>
            </w:r>
          </w:p>
        </w:tc>
      </w:tr>
      <w:tr w:rsidR="00C8793A" w:rsidRPr="00C8793A" w:rsidTr="00C8793A">
        <w:trPr>
          <w:cantSplit/>
          <w:trHeight w:val="331"/>
        </w:trPr>
        <w:tc>
          <w:tcPr>
            <w:tcW w:w="3038" w:type="dxa"/>
            <w:tcBorders>
              <w:top w:val="nil"/>
              <w:left w:val="single" w:sz="16" w:space="0" w:color="000000"/>
              <w:bottom w:val="single" w:sz="16" w:space="0" w:color="000000"/>
              <w:right w:val="single" w:sz="16" w:space="0" w:color="000000"/>
            </w:tcBorders>
            <w:shd w:val="clear" w:color="auto" w:fill="FFFFFF"/>
            <w:vAlign w:val="center"/>
          </w:tcPr>
          <w:p w:rsidR="00C8793A" w:rsidRPr="00C8793A" w:rsidRDefault="00C8793A" w:rsidP="00C8793A">
            <w:pPr>
              <w:overflowPunct/>
              <w:spacing w:line="320" w:lineRule="atLeast"/>
              <w:ind w:left="60" w:right="60"/>
              <w:textAlignment w:val="auto"/>
              <w:rPr>
                <w:rFonts w:ascii="Arial" w:hAnsi="Arial" w:cs="Arial"/>
                <w:color w:val="000000"/>
                <w:sz w:val="18"/>
                <w:szCs w:val="18"/>
              </w:rPr>
            </w:pPr>
            <w:r w:rsidRPr="00C8793A">
              <w:rPr>
                <w:rFonts w:ascii="Arial" w:hAnsi="Arial" w:cs="Arial"/>
                <w:color w:val="000000"/>
                <w:sz w:val="18"/>
                <w:szCs w:val="18"/>
              </w:rPr>
              <w:t>N of Valid Cases</w:t>
            </w:r>
          </w:p>
        </w:tc>
        <w:tc>
          <w:tcPr>
            <w:tcW w:w="1252" w:type="dxa"/>
            <w:tcBorders>
              <w:top w:val="nil"/>
              <w:left w:val="single" w:sz="16" w:space="0" w:color="000000"/>
              <w:bottom w:val="single" w:sz="16" w:space="0" w:color="000000"/>
            </w:tcBorders>
            <w:shd w:val="clear" w:color="auto" w:fill="FFFFFF"/>
            <w:vAlign w:val="center"/>
          </w:tcPr>
          <w:p w:rsidR="00C8793A" w:rsidRPr="00C8793A" w:rsidRDefault="00C8793A" w:rsidP="00C8793A">
            <w:pPr>
              <w:overflowPunct/>
              <w:spacing w:line="320" w:lineRule="atLeast"/>
              <w:ind w:left="60" w:right="60"/>
              <w:jc w:val="right"/>
              <w:textAlignment w:val="auto"/>
              <w:rPr>
                <w:rFonts w:ascii="Arial" w:hAnsi="Arial" w:cs="Arial"/>
                <w:color w:val="000000"/>
                <w:sz w:val="18"/>
                <w:szCs w:val="18"/>
              </w:rPr>
            </w:pPr>
            <w:r w:rsidRPr="00C8793A">
              <w:rPr>
                <w:rFonts w:ascii="Arial" w:hAnsi="Arial" w:cs="Arial"/>
                <w:color w:val="000000"/>
                <w:sz w:val="18"/>
                <w:szCs w:val="18"/>
              </w:rPr>
              <w:t>20</w:t>
            </w:r>
          </w:p>
        </w:tc>
        <w:tc>
          <w:tcPr>
            <w:tcW w:w="1252" w:type="dxa"/>
            <w:tcBorders>
              <w:top w:val="nil"/>
              <w:bottom w:val="single" w:sz="16" w:space="0" w:color="000000"/>
            </w:tcBorders>
            <w:shd w:val="clear" w:color="auto" w:fill="FFFFFF"/>
          </w:tcPr>
          <w:p w:rsidR="00C8793A" w:rsidRPr="00C8793A" w:rsidRDefault="00C8793A" w:rsidP="00C8793A">
            <w:pPr>
              <w:overflowPunct/>
              <w:textAlignment w:val="auto"/>
              <w:rPr>
                <w:sz w:val="24"/>
                <w:szCs w:val="24"/>
              </w:rPr>
            </w:pPr>
          </w:p>
        </w:tc>
        <w:tc>
          <w:tcPr>
            <w:tcW w:w="1821" w:type="dxa"/>
            <w:tcBorders>
              <w:top w:val="nil"/>
              <w:bottom w:val="single" w:sz="16" w:space="0" w:color="000000"/>
              <w:right w:val="single" w:sz="16" w:space="0" w:color="000000"/>
            </w:tcBorders>
            <w:shd w:val="clear" w:color="auto" w:fill="FFFFFF"/>
          </w:tcPr>
          <w:p w:rsidR="00C8793A" w:rsidRPr="00C8793A" w:rsidRDefault="00C8793A" w:rsidP="00C8793A">
            <w:pPr>
              <w:overflowPunct/>
              <w:textAlignment w:val="auto"/>
              <w:rPr>
                <w:sz w:val="24"/>
                <w:szCs w:val="24"/>
              </w:rPr>
            </w:pPr>
          </w:p>
        </w:tc>
      </w:tr>
      <w:tr w:rsidR="00C8793A" w:rsidRPr="00C8793A" w:rsidTr="00C8793A">
        <w:trPr>
          <w:cantSplit/>
          <w:trHeight w:val="662"/>
        </w:trPr>
        <w:tc>
          <w:tcPr>
            <w:tcW w:w="7363" w:type="dxa"/>
            <w:gridSpan w:val="4"/>
            <w:tcBorders>
              <w:top w:val="nil"/>
              <w:left w:val="nil"/>
              <w:bottom w:val="nil"/>
              <w:right w:val="nil"/>
            </w:tcBorders>
            <w:shd w:val="clear" w:color="auto" w:fill="FFFFFF"/>
          </w:tcPr>
          <w:p w:rsidR="00C8793A" w:rsidRPr="00C8793A" w:rsidRDefault="00C8793A" w:rsidP="00C8793A">
            <w:pPr>
              <w:overflowPunct/>
              <w:spacing w:line="320" w:lineRule="atLeast"/>
              <w:ind w:left="60" w:right="60"/>
              <w:textAlignment w:val="auto"/>
              <w:rPr>
                <w:rFonts w:ascii="Arial" w:hAnsi="Arial" w:cs="Arial"/>
                <w:color w:val="000000"/>
                <w:sz w:val="18"/>
                <w:szCs w:val="18"/>
              </w:rPr>
            </w:pPr>
            <w:r w:rsidRPr="00C8793A">
              <w:rPr>
                <w:rFonts w:ascii="Arial" w:hAnsi="Arial" w:cs="Arial"/>
                <w:color w:val="000000"/>
                <w:sz w:val="18"/>
                <w:szCs w:val="18"/>
              </w:rPr>
              <w:t>a. 8 cells (100.0%) have expected count less than 5. The minimum expected count is 1.35.</w:t>
            </w:r>
          </w:p>
        </w:tc>
      </w:tr>
    </w:tbl>
    <w:p w:rsidR="00C8793A" w:rsidRPr="00C8793A" w:rsidRDefault="00C8793A" w:rsidP="00C8793A">
      <w:pPr>
        <w:overflowPunct/>
        <w:spacing w:line="400" w:lineRule="atLeast"/>
        <w:textAlignment w:val="auto"/>
        <w:rPr>
          <w:sz w:val="24"/>
          <w:szCs w:val="24"/>
        </w:rPr>
      </w:pPr>
    </w:p>
    <w:p w:rsidR="009D5E85" w:rsidRPr="00FC64B4" w:rsidRDefault="009D5E85" w:rsidP="00FC64B4">
      <w:pPr>
        <w:overflowPunct/>
        <w:textAlignment w:val="auto"/>
        <w:rPr>
          <w:sz w:val="24"/>
          <w:szCs w:val="24"/>
        </w:rPr>
      </w:pPr>
      <w:r>
        <w:rPr>
          <w:sz w:val="24"/>
          <w:szCs w:val="24"/>
        </w:rPr>
        <w:tab/>
      </w:r>
      <w:r>
        <w:rPr>
          <w:rFonts w:ascii="Arial" w:hAnsi="Arial" w:cs="Arial"/>
          <w:sz w:val="24"/>
          <w:szCs w:val="24"/>
        </w:rPr>
        <w:t xml:space="preserve">The results show that there is no significance between acuity and disposition.  </w:t>
      </w:r>
    </w:p>
    <w:p w:rsidR="009D5E85" w:rsidRDefault="009D5E85" w:rsidP="009D5E85">
      <w:pPr>
        <w:overflowPunct/>
        <w:textAlignment w:val="auto"/>
        <w:rPr>
          <w:rFonts w:ascii="Arial" w:hAnsi="Arial" w:cs="Arial"/>
          <w:sz w:val="24"/>
          <w:szCs w:val="24"/>
        </w:rPr>
      </w:pPr>
    </w:p>
    <w:tbl>
      <w:tblPr>
        <w:tblpPr w:leftFromText="180" w:rightFromText="180" w:vertAnchor="text" w:horzAnchor="margin" w:tblpXSpec="center" w:tblpY="483"/>
        <w:tblW w:w="8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1"/>
        <w:gridCol w:w="1334"/>
        <w:gridCol w:w="1522"/>
        <w:gridCol w:w="1164"/>
        <w:gridCol w:w="1024"/>
        <w:gridCol w:w="1491"/>
        <w:gridCol w:w="1024"/>
      </w:tblGrid>
      <w:tr w:rsidR="00FC64B4" w:rsidRPr="009D5E85" w:rsidTr="00FC64B4">
        <w:trPr>
          <w:cantSplit/>
          <w:trHeight w:val="258"/>
        </w:trPr>
        <w:tc>
          <w:tcPr>
            <w:tcW w:w="8320" w:type="dxa"/>
            <w:gridSpan w:val="7"/>
            <w:tcBorders>
              <w:top w:val="nil"/>
              <w:left w:val="nil"/>
              <w:bottom w:val="nil"/>
              <w:right w:val="nil"/>
            </w:tcBorders>
            <w:shd w:val="clear" w:color="auto" w:fill="FFFFFF"/>
          </w:tcPr>
          <w:p w:rsidR="00FC64B4" w:rsidRPr="009D5E85" w:rsidRDefault="00FC64B4" w:rsidP="00FC64B4">
            <w:pPr>
              <w:overflowPunct/>
              <w:spacing w:line="320" w:lineRule="atLeast"/>
              <w:ind w:left="60" w:right="60"/>
              <w:jc w:val="center"/>
              <w:textAlignment w:val="auto"/>
              <w:rPr>
                <w:rFonts w:ascii="Arial" w:hAnsi="Arial" w:cs="Arial"/>
                <w:color w:val="000000"/>
                <w:sz w:val="18"/>
                <w:szCs w:val="18"/>
              </w:rPr>
            </w:pPr>
            <w:r w:rsidRPr="009D5E85">
              <w:rPr>
                <w:rFonts w:ascii="Arial" w:hAnsi="Arial" w:cs="Arial"/>
                <w:b/>
                <w:bCs/>
                <w:color w:val="000000"/>
                <w:sz w:val="18"/>
                <w:szCs w:val="18"/>
              </w:rPr>
              <w:t>Crosstab</w:t>
            </w:r>
          </w:p>
        </w:tc>
      </w:tr>
      <w:tr w:rsidR="00FC64B4" w:rsidRPr="009D5E85" w:rsidTr="00FC64B4">
        <w:trPr>
          <w:cantSplit/>
          <w:trHeight w:val="258"/>
        </w:trPr>
        <w:tc>
          <w:tcPr>
            <w:tcW w:w="3617" w:type="dxa"/>
            <w:gridSpan w:val="3"/>
            <w:vMerge w:val="restart"/>
            <w:tcBorders>
              <w:top w:val="single" w:sz="16" w:space="0" w:color="000000"/>
              <w:left w:val="single" w:sz="16" w:space="0" w:color="000000"/>
              <w:bottom w:val="nil"/>
              <w:right w:val="nil"/>
            </w:tcBorders>
            <w:shd w:val="clear" w:color="auto" w:fill="FFFFFF"/>
          </w:tcPr>
          <w:p w:rsidR="00FC64B4" w:rsidRPr="009D5E85" w:rsidRDefault="00FC64B4" w:rsidP="00FC64B4">
            <w:pPr>
              <w:overflowPunct/>
              <w:spacing w:line="320" w:lineRule="atLeast"/>
              <w:ind w:left="60" w:right="60"/>
              <w:textAlignment w:val="auto"/>
              <w:rPr>
                <w:rFonts w:ascii="Arial" w:hAnsi="Arial" w:cs="Arial"/>
                <w:color w:val="000000"/>
                <w:sz w:val="18"/>
                <w:szCs w:val="18"/>
              </w:rPr>
            </w:pPr>
          </w:p>
        </w:tc>
        <w:tc>
          <w:tcPr>
            <w:tcW w:w="3679" w:type="dxa"/>
            <w:gridSpan w:val="3"/>
            <w:tcBorders>
              <w:top w:val="single" w:sz="16" w:space="0" w:color="000000"/>
              <w:left w:val="single" w:sz="16" w:space="0" w:color="000000"/>
            </w:tcBorders>
            <w:shd w:val="clear" w:color="auto" w:fill="FFFFFF"/>
          </w:tcPr>
          <w:p w:rsidR="00FC64B4" w:rsidRPr="009D5E85" w:rsidRDefault="00FC64B4" w:rsidP="00FC64B4">
            <w:pPr>
              <w:overflowPunct/>
              <w:spacing w:line="320" w:lineRule="atLeast"/>
              <w:ind w:left="60" w:right="60"/>
              <w:jc w:val="center"/>
              <w:textAlignment w:val="auto"/>
              <w:rPr>
                <w:rFonts w:ascii="Arial" w:hAnsi="Arial" w:cs="Arial"/>
                <w:color w:val="000000"/>
                <w:sz w:val="18"/>
                <w:szCs w:val="18"/>
              </w:rPr>
            </w:pPr>
            <w:r w:rsidRPr="009D5E85">
              <w:rPr>
                <w:rFonts w:ascii="Arial" w:hAnsi="Arial" w:cs="Arial"/>
                <w:color w:val="000000"/>
                <w:sz w:val="18"/>
                <w:szCs w:val="18"/>
              </w:rPr>
              <w:t>Dispo</w:t>
            </w:r>
            <w:r>
              <w:rPr>
                <w:rFonts w:ascii="Arial" w:hAnsi="Arial" w:cs="Arial"/>
                <w:color w:val="000000"/>
                <w:sz w:val="18"/>
                <w:szCs w:val="18"/>
              </w:rPr>
              <w:t>sition</w:t>
            </w:r>
          </w:p>
        </w:tc>
        <w:tc>
          <w:tcPr>
            <w:tcW w:w="1024" w:type="dxa"/>
            <w:vMerge w:val="restart"/>
            <w:tcBorders>
              <w:top w:val="single" w:sz="16" w:space="0" w:color="000000"/>
              <w:right w:val="single" w:sz="16" w:space="0" w:color="000000"/>
            </w:tcBorders>
            <w:shd w:val="clear" w:color="auto" w:fill="FFFFFF"/>
          </w:tcPr>
          <w:p w:rsidR="00FC64B4" w:rsidRPr="009D5E85" w:rsidRDefault="00FC64B4" w:rsidP="00FC64B4">
            <w:pPr>
              <w:overflowPunct/>
              <w:spacing w:line="320" w:lineRule="atLeast"/>
              <w:ind w:left="60" w:right="60"/>
              <w:jc w:val="center"/>
              <w:textAlignment w:val="auto"/>
              <w:rPr>
                <w:rFonts w:ascii="Arial" w:hAnsi="Arial" w:cs="Arial"/>
                <w:color w:val="000000"/>
                <w:sz w:val="18"/>
                <w:szCs w:val="18"/>
              </w:rPr>
            </w:pPr>
            <w:r w:rsidRPr="009D5E85">
              <w:rPr>
                <w:rFonts w:ascii="Arial" w:hAnsi="Arial" w:cs="Arial"/>
                <w:color w:val="000000"/>
                <w:sz w:val="18"/>
                <w:szCs w:val="18"/>
              </w:rPr>
              <w:t>Total</w:t>
            </w:r>
          </w:p>
        </w:tc>
      </w:tr>
      <w:tr w:rsidR="00FC64B4" w:rsidRPr="009D5E85" w:rsidTr="00FC64B4">
        <w:trPr>
          <w:cantSplit/>
          <w:trHeight w:val="118"/>
        </w:trPr>
        <w:tc>
          <w:tcPr>
            <w:tcW w:w="3617" w:type="dxa"/>
            <w:gridSpan w:val="3"/>
            <w:vMerge/>
            <w:tcBorders>
              <w:top w:val="single" w:sz="16" w:space="0" w:color="000000"/>
              <w:left w:val="single" w:sz="16" w:space="0" w:color="000000"/>
              <w:bottom w:val="nil"/>
              <w:right w:val="nil"/>
            </w:tcBorders>
            <w:shd w:val="clear" w:color="auto" w:fill="FFFFFF"/>
          </w:tcPr>
          <w:p w:rsidR="00FC64B4" w:rsidRPr="009D5E85" w:rsidRDefault="00FC64B4" w:rsidP="00FC64B4">
            <w:pPr>
              <w:overflowPunct/>
              <w:textAlignment w:val="auto"/>
              <w:rPr>
                <w:rFonts w:ascii="Arial" w:hAnsi="Arial" w:cs="Arial"/>
                <w:color w:val="000000"/>
                <w:sz w:val="18"/>
                <w:szCs w:val="18"/>
              </w:rPr>
            </w:pPr>
          </w:p>
        </w:tc>
        <w:tc>
          <w:tcPr>
            <w:tcW w:w="1164" w:type="dxa"/>
            <w:tcBorders>
              <w:left w:val="single" w:sz="16" w:space="0" w:color="000000"/>
              <w:bottom w:val="single" w:sz="16" w:space="0" w:color="000000"/>
            </w:tcBorders>
            <w:shd w:val="clear" w:color="auto" w:fill="FFFFFF"/>
          </w:tcPr>
          <w:p w:rsidR="00FC64B4" w:rsidRPr="009D5E85" w:rsidRDefault="00FC64B4" w:rsidP="00FC64B4">
            <w:pPr>
              <w:overflowPunct/>
              <w:spacing w:line="320" w:lineRule="atLeast"/>
              <w:ind w:left="60" w:right="60"/>
              <w:jc w:val="center"/>
              <w:textAlignment w:val="auto"/>
              <w:rPr>
                <w:rFonts w:ascii="Arial" w:hAnsi="Arial" w:cs="Arial"/>
                <w:color w:val="000000"/>
                <w:sz w:val="18"/>
                <w:szCs w:val="18"/>
              </w:rPr>
            </w:pPr>
            <w:r w:rsidRPr="009D5E85">
              <w:rPr>
                <w:rFonts w:ascii="Arial" w:hAnsi="Arial" w:cs="Arial"/>
                <w:color w:val="000000"/>
                <w:sz w:val="18"/>
                <w:szCs w:val="18"/>
              </w:rPr>
              <w:t>Discharge</w:t>
            </w:r>
          </w:p>
        </w:tc>
        <w:tc>
          <w:tcPr>
            <w:tcW w:w="1024" w:type="dxa"/>
            <w:tcBorders>
              <w:bottom w:val="single" w:sz="16" w:space="0" w:color="000000"/>
            </w:tcBorders>
            <w:shd w:val="clear" w:color="auto" w:fill="FFFFFF"/>
          </w:tcPr>
          <w:p w:rsidR="00FC64B4" w:rsidRPr="009D5E85" w:rsidRDefault="00FC64B4" w:rsidP="00FC64B4">
            <w:pPr>
              <w:overflowPunct/>
              <w:spacing w:line="320" w:lineRule="atLeast"/>
              <w:ind w:left="60" w:right="60"/>
              <w:jc w:val="center"/>
              <w:textAlignment w:val="auto"/>
              <w:rPr>
                <w:rFonts w:ascii="Arial" w:hAnsi="Arial" w:cs="Arial"/>
                <w:color w:val="000000"/>
                <w:sz w:val="18"/>
                <w:szCs w:val="18"/>
              </w:rPr>
            </w:pPr>
            <w:r w:rsidRPr="009D5E85">
              <w:rPr>
                <w:rFonts w:ascii="Arial" w:hAnsi="Arial" w:cs="Arial"/>
                <w:color w:val="000000"/>
                <w:sz w:val="18"/>
                <w:szCs w:val="18"/>
              </w:rPr>
              <w:t>Transfer</w:t>
            </w:r>
          </w:p>
        </w:tc>
        <w:tc>
          <w:tcPr>
            <w:tcW w:w="1491" w:type="dxa"/>
            <w:tcBorders>
              <w:bottom w:val="single" w:sz="16" w:space="0" w:color="000000"/>
            </w:tcBorders>
            <w:shd w:val="clear" w:color="auto" w:fill="FFFFFF"/>
          </w:tcPr>
          <w:p w:rsidR="00FC64B4" w:rsidRPr="009D5E85" w:rsidRDefault="00FC64B4" w:rsidP="00FC64B4">
            <w:pPr>
              <w:overflowPunct/>
              <w:spacing w:line="320" w:lineRule="atLeast"/>
              <w:ind w:left="60" w:right="60"/>
              <w:jc w:val="center"/>
              <w:textAlignment w:val="auto"/>
              <w:rPr>
                <w:rFonts w:ascii="Arial" w:hAnsi="Arial" w:cs="Arial"/>
                <w:color w:val="000000"/>
                <w:sz w:val="18"/>
                <w:szCs w:val="18"/>
              </w:rPr>
            </w:pPr>
            <w:r w:rsidRPr="009D5E85">
              <w:rPr>
                <w:rFonts w:ascii="Arial" w:hAnsi="Arial" w:cs="Arial"/>
                <w:color w:val="000000"/>
                <w:sz w:val="18"/>
                <w:szCs w:val="18"/>
              </w:rPr>
              <w:t>Left Against Medical Advice</w:t>
            </w:r>
          </w:p>
        </w:tc>
        <w:tc>
          <w:tcPr>
            <w:tcW w:w="1024" w:type="dxa"/>
            <w:vMerge/>
            <w:tcBorders>
              <w:top w:val="single" w:sz="16" w:space="0" w:color="000000"/>
              <w:right w:val="single" w:sz="16" w:space="0" w:color="000000"/>
            </w:tcBorders>
            <w:shd w:val="clear" w:color="auto" w:fill="FFFFFF"/>
          </w:tcPr>
          <w:p w:rsidR="00FC64B4" w:rsidRPr="009D5E85" w:rsidRDefault="00FC64B4" w:rsidP="00FC64B4">
            <w:pPr>
              <w:overflowPunct/>
              <w:textAlignment w:val="auto"/>
              <w:rPr>
                <w:rFonts w:ascii="Arial" w:hAnsi="Arial" w:cs="Arial"/>
                <w:color w:val="000000"/>
                <w:sz w:val="18"/>
                <w:szCs w:val="18"/>
              </w:rPr>
            </w:pPr>
          </w:p>
        </w:tc>
      </w:tr>
      <w:tr w:rsidR="00FC64B4" w:rsidRPr="009D5E85" w:rsidTr="00FC64B4">
        <w:trPr>
          <w:cantSplit/>
          <w:trHeight w:val="258"/>
        </w:trPr>
        <w:tc>
          <w:tcPr>
            <w:tcW w:w="761" w:type="dxa"/>
            <w:vMerge w:val="restart"/>
            <w:tcBorders>
              <w:top w:val="single" w:sz="16" w:space="0" w:color="000000"/>
              <w:left w:val="single" w:sz="16" w:space="0" w:color="000000"/>
              <w:bottom w:val="nil"/>
              <w:right w:val="nil"/>
            </w:tcBorders>
            <w:shd w:val="clear" w:color="auto" w:fill="FFFFFF"/>
            <w:vAlign w:val="center"/>
          </w:tcPr>
          <w:p w:rsidR="00FC64B4" w:rsidRPr="009D5E85" w:rsidRDefault="00FC64B4" w:rsidP="00FC64B4">
            <w:pPr>
              <w:overflowPunct/>
              <w:spacing w:line="320" w:lineRule="atLeast"/>
              <w:ind w:left="60" w:right="60"/>
              <w:textAlignment w:val="auto"/>
              <w:rPr>
                <w:rFonts w:ascii="Arial" w:hAnsi="Arial" w:cs="Arial"/>
                <w:color w:val="000000"/>
                <w:sz w:val="18"/>
                <w:szCs w:val="18"/>
              </w:rPr>
            </w:pPr>
            <w:r w:rsidRPr="009D5E85">
              <w:rPr>
                <w:rFonts w:ascii="Arial" w:hAnsi="Arial" w:cs="Arial"/>
                <w:color w:val="000000"/>
                <w:sz w:val="18"/>
                <w:szCs w:val="18"/>
              </w:rPr>
              <w:t>Acuity</w:t>
            </w:r>
          </w:p>
        </w:tc>
        <w:tc>
          <w:tcPr>
            <w:tcW w:w="1334" w:type="dxa"/>
            <w:vMerge w:val="restart"/>
            <w:tcBorders>
              <w:top w:val="single" w:sz="16" w:space="0" w:color="000000"/>
              <w:left w:val="nil"/>
              <w:bottom w:val="nil"/>
              <w:right w:val="nil"/>
            </w:tcBorders>
            <w:shd w:val="clear" w:color="auto" w:fill="FFFFFF"/>
            <w:vAlign w:val="center"/>
          </w:tcPr>
          <w:p w:rsidR="00FC64B4" w:rsidRPr="009D5E85" w:rsidRDefault="00FC64B4" w:rsidP="00FC64B4">
            <w:pPr>
              <w:overflowPunct/>
              <w:spacing w:line="320" w:lineRule="atLeast"/>
              <w:ind w:left="60" w:right="60"/>
              <w:textAlignment w:val="auto"/>
              <w:rPr>
                <w:rFonts w:ascii="Arial" w:hAnsi="Arial" w:cs="Arial"/>
                <w:color w:val="000000"/>
                <w:sz w:val="18"/>
                <w:szCs w:val="18"/>
              </w:rPr>
            </w:pPr>
            <w:r w:rsidRPr="009D5E85">
              <w:rPr>
                <w:rFonts w:ascii="Arial" w:hAnsi="Arial" w:cs="Arial"/>
                <w:color w:val="000000"/>
                <w:sz w:val="18"/>
                <w:szCs w:val="18"/>
              </w:rPr>
              <w:t>Less Urgent</w:t>
            </w:r>
          </w:p>
        </w:tc>
        <w:tc>
          <w:tcPr>
            <w:tcW w:w="1522" w:type="dxa"/>
            <w:tcBorders>
              <w:top w:val="single" w:sz="16" w:space="0" w:color="000000"/>
              <w:left w:val="nil"/>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textAlignment w:val="auto"/>
              <w:rPr>
                <w:rFonts w:ascii="Arial" w:hAnsi="Arial" w:cs="Arial"/>
                <w:color w:val="000000"/>
                <w:sz w:val="18"/>
                <w:szCs w:val="18"/>
              </w:rPr>
            </w:pPr>
            <w:r w:rsidRPr="009D5E85">
              <w:rPr>
                <w:rFonts w:ascii="Arial" w:hAnsi="Arial" w:cs="Arial"/>
                <w:color w:val="000000"/>
                <w:sz w:val="18"/>
                <w:szCs w:val="18"/>
              </w:rPr>
              <w:t>Count</w:t>
            </w:r>
          </w:p>
        </w:tc>
        <w:tc>
          <w:tcPr>
            <w:tcW w:w="1164" w:type="dxa"/>
            <w:tcBorders>
              <w:top w:val="single" w:sz="16" w:space="0" w:color="000000"/>
              <w:left w:val="single" w:sz="16" w:space="0" w:color="000000"/>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9</w:t>
            </w:r>
          </w:p>
        </w:tc>
        <w:tc>
          <w:tcPr>
            <w:tcW w:w="1024" w:type="dxa"/>
            <w:tcBorders>
              <w:top w:val="single" w:sz="16" w:space="0" w:color="000000"/>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0</w:t>
            </w:r>
          </w:p>
        </w:tc>
        <w:tc>
          <w:tcPr>
            <w:tcW w:w="1491" w:type="dxa"/>
            <w:tcBorders>
              <w:top w:val="single" w:sz="16" w:space="0" w:color="000000"/>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0</w:t>
            </w:r>
          </w:p>
        </w:tc>
        <w:tc>
          <w:tcPr>
            <w:tcW w:w="1024" w:type="dxa"/>
            <w:tcBorders>
              <w:top w:val="single" w:sz="16" w:space="0" w:color="000000"/>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9</w:t>
            </w:r>
          </w:p>
        </w:tc>
      </w:tr>
      <w:tr w:rsidR="00FC64B4" w:rsidRPr="009D5E85" w:rsidTr="00FC64B4">
        <w:trPr>
          <w:cantSplit/>
          <w:trHeight w:val="118"/>
        </w:trPr>
        <w:tc>
          <w:tcPr>
            <w:tcW w:w="761" w:type="dxa"/>
            <w:vMerge/>
            <w:tcBorders>
              <w:top w:val="single" w:sz="16" w:space="0" w:color="000000"/>
              <w:left w:val="single" w:sz="16" w:space="0" w:color="000000"/>
              <w:bottom w:val="nil"/>
              <w:right w:val="nil"/>
            </w:tcBorders>
            <w:shd w:val="clear" w:color="auto" w:fill="FFFFFF"/>
            <w:vAlign w:val="center"/>
          </w:tcPr>
          <w:p w:rsidR="00FC64B4" w:rsidRPr="009D5E85" w:rsidRDefault="00FC64B4" w:rsidP="00FC64B4">
            <w:pPr>
              <w:overflowPunct/>
              <w:textAlignment w:val="auto"/>
              <w:rPr>
                <w:rFonts w:ascii="Arial" w:hAnsi="Arial" w:cs="Arial"/>
                <w:color w:val="000000"/>
                <w:sz w:val="18"/>
                <w:szCs w:val="18"/>
              </w:rPr>
            </w:pPr>
          </w:p>
        </w:tc>
        <w:tc>
          <w:tcPr>
            <w:tcW w:w="1334" w:type="dxa"/>
            <w:vMerge/>
            <w:tcBorders>
              <w:top w:val="single" w:sz="16" w:space="0" w:color="000000"/>
              <w:left w:val="nil"/>
              <w:bottom w:val="nil"/>
              <w:right w:val="nil"/>
            </w:tcBorders>
            <w:shd w:val="clear" w:color="auto" w:fill="FFFFFF"/>
            <w:vAlign w:val="center"/>
          </w:tcPr>
          <w:p w:rsidR="00FC64B4" w:rsidRPr="009D5E85" w:rsidRDefault="00FC64B4" w:rsidP="00FC64B4">
            <w:pPr>
              <w:overflowPunct/>
              <w:textAlignment w:val="auto"/>
              <w:rPr>
                <w:rFonts w:ascii="Arial" w:hAnsi="Arial" w:cs="Arial"/>
                <w:color w:val="000000"/>
                <w:sz w:val="18"/>
                <w:szCs w:val="18"/>
              </w:rPr>
            </w:pPr>
          </w:p>
        </w:tc>
        <w:tc>
          <w:tcPr>
            <w:tcW w:w="1522" w:type="dxa"/>
            <w:tcBorders>
              <w:top w:val="nil"/>
              <w:left w:val="nil"/>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textAlignment w:val="auto"/>
              <w:rPr>
                <w:rFonts w:ascii="Arial" w:hAnsi="Arial" w:cs="Arial"/>
                <w:color w:val="000000"/>
                <w:sz w:val="18"/>
                <w:szCs w:val="18"/>
              </w:rPr>
            </w:pPr>
            <w:r w:rsidRPr="009D5E85">
              <w:rPr>
                <w:rFonts w:ascii="Arial" w:hAnsi="Arial" w:cs="Arial"/>
                <w:color w:val="000000"/>
                <w:sz w:val="18"/>
                <w:szCs w:val="18"/>
              </w:rPr>
              <w:t>% within Acuity</w:t>
            </w:r>
          </w:p>
        </w:tc>
        <w:tc>
          <w:tcPr>
            <w:tcW w:w="1164" w:type="dxa"/>
            <w:tcBorders>
              <w:top w:val="nil"/>
              <w:left w:val="single" w:sz="16" w:space="0" w:color="000000"/>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100.0%</w:t>
            </w:r>
          </w:p>
        </w:tc>
        <w:tc>
          <w:tcPr>
            <w:tcW w:w="1024" w:type="dxa"/>
            <w:tcBorders>
              <w:top w:val="nil"/>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0.0%</w:t>
            </w:r>
          </w:p>
        </w:tc>
        <w:tc>
          <w:tcPr>
            <w:tcW w:w="1491" w:type="dxa"/>
            <w:tcBorders>
              <w:top w:val="nil"/>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0.0%</w:t>
            </w:r>
          </w:p>
        </w:tc>
        <w:tc>
          <w:tcPr>
            <w:tcW w:w="1024" w:type="dxa"/>
            <w:tcBorders>
              <w:top w:val="nil"/>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100.0%</w:t>
            </w:r>
          </w:p>
        </w:tc>
      </w:tr>
      <w:tr w:rsidR="00FC64B4" w:rsidRPr="009D5E85" w:rsidTr="00FC64B4">
        <w:trPr>
          <w:cantSplit/>
          <w:trHeight w:val="118"/>
        </w:trPr>
        <w:tc>
          <w:tcPr>
            <w:tcW w:w="761" w:type="dxa"/>
            <w:vMerge/>
            <w:tcBorders>
              <w:top w:val="single" w:sz="16" w:space="0" w:color="000000"/>
              <w:left w:val="single" w:sz="16" w:space="0" w:color="000000"/>
              <w:bottom w:val="nil"/>
              <w:right w:val="nil"/>
            </w:tcBorders>
            <w:shd w:val="clear" w:color="auto" w:fill="FFFFFF"/>
            <w:vAlign w:val="center"/>
          </w:tcPr>
          <w:p w:rsidR="00FC64B4" w:rsidRPr="009D5E85" w:rsidRDefault="00FC64B4" w:rsidP="00FC64B4">
            <w:pPr>
              <w:overflowPunct/>
              <w:textAlignment w:val="auto"/>
              <w:rPr>
                <w:rFonts w:ascii="Arial" w:hAnsi="Arial" w:cs="Arial"/>
                <w:color w:val="000000"/>
                <w:sz w:val="18"/>
                <w:szCs w:val="18"/>
              </w:rPr>
            </w:pPr>
          </w:p>
        </w:tc>
        <w:tc>
          <w:tcPr>
            <w:tcW w:w="1334" w:type="dxa"/>
            <w:vMerge w:val="restart"/>
            <w:tcBorders>
              <w:top w:val="nil"/>
              <w:left w:val="nil"/>
              <w:bottom w:val="nil"/>
              <w:right w:val="nil"/>
            </w:tcBorders>
            <w:shd w:val="clear" w:color="auto" w:fill="FFFFFF"/>
            <w:vAlign w:val="center"/>
          </w:tcPr>
          <w:p w:rsidR="00FC64B4" w:rsidRPr="009D5E85" w:rsidRDefault="00FC64B4" w:rsidP="00FC64B4">
            <w:pPr>
              <w:overflowPunct/>
              <w:spacing w:line="320" w:lineRule="atLeast"/>
              <w:ind w:left="60" w:right="60"/>
              <w:textAlignment w:val="auto"/>
              <w:rPr>
                <w:rFonts w:ascii="Arial" w:hAnsi="Arial" w:cs="Arial"/>
                <w:color w:val="000000"/>
                <w:sz w:val="18"/>
                <w:szCs w:val="18"/>
              </w:rPr>
            </w:pPr>
            <w:r w:rsidRPr="009D5E85">
              <w:rPr>
                <w:rFonts w:ascii="Arial" w:hAnsi="Arial" w:cs="Arial"/>
                <w:color w:val="000000"/>
                <w:sz w:val="18"/>
                <w:szCs w:val="18"/>
              </w:rPr>
              <w:t>Urgent</w:t>
            </w:r>
          </w:p>
        </w:tc>
        <w:tc>
          <w:tcPr>
            <w:tcW w:w="1522" w:type="dxa"/>
            <w:tcBorders>
              <w:top w:val="nil"/>
              <w:left w:val="nil"/>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textAlignment w:val="auto"/>
              <w:rPr>
                <w:rFonts w:ascii="Arial" w:hAnsi="Arial" w:cs="Arial"/>
                <w:color w:val="000000"/>
                <w:sz w:val="18"/>
                <w:szCs w:val="18"/>
              </w:rPr>
            </w:pPr>
            <w:r w:rsidRPr="009D5E85">
              <w:rPr>
                <w:rFonts w:ascii="Arial" w:hAnsi="Arial" w:cs="Arial"/>
                <w:color w:val="000000"/>
                <w:sz w:val="18"/>
                <w:szCs w:val="18"/>
              </w:rPr>
              <w:t>Count</w:t>
            </w:r>
          </w:p>
        </w:tc>
        <w:tc>
          <w:tcPr>
            <w:tcW w:w="1164" w:type="dxa"/>
            <w:tcBorders>
              <w:top w:val="nil"/>
              <w:left w:val="single" w:sz="16" w:space="0" w:color="000000"/>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8</w:t>
            </w:r>
          </w:p>
        </w:tc>
        <w:tc>
          <w:tcPr>
            <w:tcW w:w="1024" w:type="dxa"/>
            <w:tcBorders>
              <w:top w:val="nil"/>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2</w:t>
            </w:r>
          </w:p>
        </w:tc>
        <w:tc>
          <w:tcPr>
            <w:tcW w:w="1491" w:type="dxa"/>
            <w:tcBorders>
              <w:top w:val="nil"/>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11</w:t>
            </w:r>
          </w:p>
        </w:tc>
      </w:tr>
      <w:tr w:rsidR="00FC64B4" w:rsidRPr="009D5E85" w:rsidTr="00FC64B4">
        <w:trPr>
          <w:cantSplit/>
          <w:trHeight w:val="118"/>
        </w:trPr>
        <w:tc>
          <w:tcPr>
            <w:tcW w:w="761" w:type="dxa"/>
            <w:vMerge/>
            <w:tcBorders>
              <w:top w:val="single" w:sz="16" w:space="0" w:color="000000"/>
              <w:left w:val="single" w:sz="16" w:space="0" w:color="000000"/>
              <w:bottom w:val="nil"/>
              <w:right w:val="nil"/>
            </w:tcBorders>
            <w:shd w:val="clear" w:color="auto" w:fill="FFFFFF"/>
            <w:vAlign w:val="center"/>
          </w:tcPr>
          <w:p w:rsidR="00FC64B4" w:rsidRPr="009D5E85" w:rsidRDefault="00FC64B4" w:rsidP="00FC64B4">
            <w:pPr>
              <w:overflowPunct/>
              <w:textAlignment w:val="auto"/>
              <w:rPr>
                <w:rFonts w:ascii="Arial" w:hAnsi="Arial" w:cs="Arial"/>
                <w:color w:val="000000"/>
                <w:sz w:val="18"/>
                <w:szCs w:val="18"/>
              </w:rPr>
            </w:pPr>
          </w:p>
        </w:tc>
        <w:tc>
          <w:tcPr>
            <w:tcW w:w="1334" w:type="dxa"/>
            <w:vMerge/>
            <w:tcBorders>
              <w:top w:val="nil"/>
              <w:left w:val="nil"/>
              <w:bottom w:val="nil"/>
              <w:right w:val="nil"/>
            </w:tcBorders>
            <w:shd w:val="clear" w:color="auto" w:fill="FFFFFF"/>
            <w:vAlign w:val="center"/>
          </w:tcPr>
          <w:p w:rsidR="00FC64B4" w:rsidRPr="009D5E85" w:rsidRDefault="00FC64B4" w:rsidP="00FC64B4">
            <w:pPr>
              <w:overflowPunct/>
              <w:textAlignment w:val="auto"/>
              <w:rPr>
                <w:rFonts w:ascii="Arial" w:hAnsi="Arial" w:cs="Arial"/>
                <w:color w:val="000000"/>
                <w:sz w:val="18"/>
                <w:szCs w:val="18"/>
              </w:rPr>
            </w:pPr>
          </w:p>
        </w:tc>
        <w:tc>
          <w:tcPr>
            <w:tcW w:w="1522" w:type="dxa"/>
            <w:tcBorders>
              <w:top w:val="nil"/>
              <w:left w:val="nil"/>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textAlignment w:val="auto"/>
              <w:rPr>
                <w:rFonts w:ascii="Arial" w:hAnsi="Arial" w:cs="Arial"/>
                <w:color w:val="000000"/>
                <w:sz w:val="18"/>
                <w:szCs w:val="18"/>
              </w:rPr>
            </w:pPr>
            <w:r w:rsidRPr="009D5E85">
              <w:rPr>
                <w:rFonts w:ascii="Arial" w:hAnsi="Arial" w:cs="Arial"/>
                <w:color w:val="000000"/>
                <w:sz w:val="18"/>
                <w:szCs w:val="18"/>
              </w:rPr>
              <w:t>% within Acuity</w:t>
            </w:r>
          </w:p>
        </w:tc>
        <w:tc>
          <w:tcPr>
            <w:tcW w:w="1164" w:type="dxa"/>
            <w:tcBorders>
              <w:top w:val="nil"/>
              <w:left w:val="single" w:sz="16" w:space="0" w:color="000000"/>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72.7%</w:t>
            </w:r>
          </w:p>
        </w:tc>
        <w:tc>
          <w:tcPr>
            <w:tcW w:w="1024" w:type="dxa"/>
            <w:tcBorders>
              <w:top w:val="nil"/>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18.2%</w:t>
            </w:r>
          </w:p>
        </w:tc>
        <w:tc>
          <w:tcPr>
            <w:tcW w:w="1491" w:type="dxa"/>
            <w:tcBorders>
              <w:top w:val="nil"/>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9.1%</w:t>
            </w:r>
          </w:p>
        </w:tc>
        <w:tc>
          <w:tcPr>
            <w:tcW w:w="1024" w:type="dxa"/>
            <w:tcBorders>
              <w:top w:val="nil"/>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100.0%</w:t>
            </w:r>
          </w:p>
        </w:tc>
      </w:tr>
      <w:tr w:rsidR="00FC64B4" w:rsidRPr="009D5E85" w:rsidTr="00FC64B4">
        <w:trPr>
          <w:cantSplit/>
          <w:trHeight w:val="271"/>
        </w:trPr>
        <w:tc>
          <w:tcPr>
            <w:tcW w:w="2095" w:type="dxa"/>
            <w:gridSpan w:val="2"/>
            <w:vMerge w:val="restart"/>
            <w:tcBorders>
              <w:top w:val="nil"/>
              <w:left w:val="single" w:sz="16" w:space="0" w:color="000000"/>
              <w:bottom w:val="single" w:sz="16" w:space="0" w:color="000000"/>
              <w:right w:val="nil"/>
            </w:tcBorders>
            <w:shd w:val="clear" w:color="auto" w:fill="FFFFFF"/>
            <w:vAlign w:val="center"/>
          </w:tcPr>
          <w:p w:rsidR="00FC64B4" w:rsidRPr="009D5E85" w:rsidRDefault="00FC64B4" w:rsidP="00FC64B4">
            <w:pPr>
              <w:overflowPunct/>
              <w:spacing w:line="320" w:lineRule="atLeast"/>
              <w:ind w:left="60" w:right="60"/>
              <w:textAlignment w:val="auto"/>
              <w:rPr>
                <w:rFonts w:ascii="Arial" w:hAnsi="Arial" w:cs="Arial"/>
                <w:color w:val="000000"/>
                <w:sz w:val="18"/>
                <w:szCs w:val="18"/>
              </w:rPr>
            </w:pPr>
            <w:r w:rsidRPr="009D5E85">
              <w:rPr>
                <w:rFonts w:ascii="Arial" w:hAnsi="Arial" w:cs="Arial"/>
                <w:color w:val="000000"/>
                <w:sz w:val="18"/>
                <w:szCs w:val="18"/>
              </w:rPr>
              <w:t>Total</w:t>
            </w:r>
          </w:p>
        </w:tc>
        <w:tc>
          <w:tcPr>
            <w:tcW w:w="1522" w:type="dxa"/>
            <w:tcBorders>
              <w:top w:val="nil"/>
              <w:left w:val="nil"/>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textAlignment w:val="auto"/>
              <w:rPr>
                <w:rFonts w:ascii="Arial" w:hAnsi="Arial" w:cs="Arial"/>
                <w:color w:val="000000"/>
                <w:sz w:val="18"/>
                <w:szCs w:val="18"/>
              </w:rPr>
            </w:pPr>
            <w:r w:rsidRPr="009D5E85">
              <w:rPr>
                <w:rFonts w:ascii="Arial" w:hAnsi="Arial" w:cs="Arial"/>
                <w:color w:val="000000"/>
                <w:sz w:val="18"/>
                <w:szCs w:val="18"/>
              </w:rPr>
              <w:t>Count</w:t>
            </w:r>
          </w:p>
        </w:tc>
        <w:tc>
          <w:tcPr>
            <w:tcW w:w="1164" w:type="dxa"/>
            <w:tcBorders>
              <w:top w:val="nil"/>
              <w:left w:val="single" w:sz="16" w:space="0" w:color="000000"/>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17</w:t>
            </w:r>
          </w:p>
        </w:tc>
        <w:tc>
          <w:tcPr>
            <w:tcW w:w="1024" w:type="dxa"/>
            <w:tcBorders>
              <w:top w:val="nil"/>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2</w:t>
            </w:r>
          </w:p>
        </w:tc>
        <w:tc>
          <w:tcPr>
            <w:tcW w:w="1491" w:type="dxa"/>
            <w:tcBorders>
              <w:top w:val="nil"/>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20</w:t>
            </w:r>
          </w:p>
        </w:tc>
      </w:tr>
      <w:tr w:rsidR="00FC64B4" w:rsidRPr="009D5E85" w:rsidTr="00FC64B4">
        <w:trPr>
          <w:cantSplit/>
          <w:trHeight w:val="118"/>
        </w:trPr>
        <w:tc>
          <w:tcPr>
            <w:tcW w:w="2095" w:type="dxa"/>
            <w:gridSpan w:val="2"/>
            <w:vMerge/>
            <w:tcBorders>
              <w:top w:val="nil"/>
              <w:left w:val="single" w:sz="16" w:space="0" w:color="000000"/>
              <w:bottom w:val="nil"/>
              <w:right w:val="nil"/>
            </w:tcBorders>
            <w:shd w:val="clear" w:color="auto" w:fill="FFFFFF"/>
            <w:vAlign w:val="center"/>
          </w:tcPr>
          <w:p w:rsidR="00FC64B4" w:rsidRPr="009D5E85" w:rsidRDefault="00FC64B4" w:rsidP="00FC64B4">
            <w:pPr>
              <w:overflowPunct/>
              <w:textAlignment w:val="auto"/>
              <w:rPr>
                <w:rFonts w:ascii="Arial" w:hAnsi="Arial" w:cs="Arial"/>
                <w:color w:val="000000"/>
                <w:sz w:val="18"/>
                <w:szCs w:val="18"/>
              </w:rPr>
            </w:pPr>
          </w:p>
        </w:tc>
        <w:tc>
          <w:tcPr>
            <w:tcW w:w="1522" w:type="dxa"/>
            <w:tcBorders>
              <w:top w:val="nil"/>
              <w:left w:val="nil"/>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textAlignment w:val="auto"/>
              <w:rPr>
                <w:rFonts w:ascii="Arial" w:hAnsi="Arial" w:cs="Arial"/>
                <w:color w:val="000000"/>
                <w:sz w:val="18"/>
                <w:szCs w:val="18"/>
              </w:rPr>
            </w:pPr>
            <w:r w:rsidRPr="009D5E85">
              <w:rPr>
                <w:rFonts w:ascii="Arial" w:hAnsi="Arial" w:cs="Arial"/>
                <w:color w:val="000000"/>
                <w:sz w:val="18"/>
                <w:szCs w:val="18"/>
              </w:rPr>
              <w:t>% within Acuity</w:t>
            </w:r>
          </w:p>
        </w:tc>
        <w:tc>
          <w:tcPr>
            <w:tcW w:w="1164" w:type="dxa"/>
            <w:tcBorders>
              <w:top w:val="nil"/>
              <w:left w:val="single" w:sz="16" w:space="0" w:color="000000"/>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85.0%</w:t>
            </w:r>
          </w:p>
        </w:tc>
        <w:tc>
          <w:tcPr>
            <w:tcW w:w="1024" w:type="dxa"/>
            <w:tcBorders>
              <w:top w:val="nil"/>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10.0%</w:t>
            </w:r>
          </w:p>
        </w:tc>
        <w:tc>
          <w:tcPr>
            <w:tcW w:w="1491" w:type="dxa"/>
            <w:tcBorders>
              <w:top w:val="nil"/>
              <w:bottom w:val="nil"/>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5.0%</w:t>
            </w:r>
          </w:p>
        </w:tc>
        <w:tc>
          <w:tcPr>
            <w:tcW w:w="1024" w:type="dxa"/>
            <w:tcBorders>
              <w:top w:val="nil"/>
              <w:bottom w:val="nil"/>
              <w:right w:val="single" w:sz="16" w:space="0" w:color="000000"/>
            </w:tcBorders>
            <w:shd w:val="clear" w:color="auto" w:fill="FFFFFF"/>
            <w:vAlign w:val="center"/>
          </w:tcPr>
          <w:p w:rsidR="00FC64B4" w:rsidRPr="009D5E85" w:rsidRDefault="00FC64B4" w:rsidP="00FC64B4">
            <w:pPr>
              <w:overflowPunct/>
              <w:spacing w:line="320" w:lineRule="atLeast"/>
              <w:ind w:left="60" w:right="60"/>
              <w:jc w:val="right"/>
              <w:textAlignment w:val="auto"/>
              <w:rPr>
                <w:rFonts w:ascii="Arial" w:hAnsi="Arial" w:cs="Arial"/>
                <w:color w:val="000000"/>
                <w:sz w:val="18"/>
                <w:szCs w:val="18"/>
              </w:rPr>
            </w:pPr>
            <w:r w:rsidRPr="009D5E85">
              <w:rPr>
                <w:rFonts w:ascii="Arial" w:hAnsi="Arial" w:cs="Arial"/>
                <w:color w:val="000000"/>
                <w:sz w:val="18"/>
                <w:szCs w:val="18"/>
              </w:rPr>
              <w:t>100.0%</w:t>
            </w:r>
          </w:p>
        </w:tc>
      </w:tr>
    </w:tbl>
    <w:p w:rsidR="009D5E85" w:rsidRDefault="009D5E85" w:rsidP="009D5E85">
      <w:pPr>
        <w:overflowPunct/>
        <w:textAlignment w:val="auto"/>
        <w:rPr>
          <w:rFonts w:ascii="Arial" w:hAnsi="Arial" w:cs="Arial"/>
          <w:sz w:val="24"/>
          <w:szCs w:val="24"/>
        </w:rPr>
      </w:pPr>
      <w:r>
        <w:rPr>
          <w:rFonts w:ascii="Arial" w:hAnsi="Arial" w:cs="Arial"/>
          <w:sz w:val="24"/>
          <w:szCs w:val="24"/>
        </w:rPr>
        <w:t xml:space="preserve">However more urgent patients were transferred than less urgent patients.  </w:t>
      </w:r>
    </w:p>
    <w:p w:rsidR="00C8793A" w:rsidRPr="009D5E85" w:rsidRDefault="00FC64B4" w:rsidP="009D5E85">
      <w:pPr>
        <w:overflowPunct/>
        <w:textAlignment w:val="auto"/>
        <w:rPr>
          <w:rFonts w:ascii="Arial" w:hAnsi="Arial" w:cs="Arial"/>
          <w:sz w:val="24"/>
          <w:szCs w:val="24"/>
        </w:rPr>
      </w:pPr>
      <w:r>
        <w:rPr>
          <w:noProof/>
          <w:sz w:val="24"/>
          <w:szCs w:val="24"/>
        </w:rPr>
        <w:lastRenderedPageBreak/>
        <w:drawing>
          <wp:inline distT="0" distB="0" distL="0" distR="0">
            <wp:extent cx="3305175" cy="2924175"/>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305652" cy="2924597"/>
                    </a:xfrm>
                    <a:prstGeom prst="rect">
                      <a:avLst/>
                    </a:prstGeom>
                    <a:noFill/>
                    <a:ln w="9525">
                      <a:noFill/>
                      <a:miter lim="800000"/>
                      <a:headEnd/>
                      <a:tailEnd/>
                    </a:ln>
                  </pic:spPr>
                </pic:pic>
              </a:graphicData>
            </a:graphic>
          </wp:inline>
        </w:drawing>
      </w:r>
      <w:r>
        <w:rPr>
          <w:rFonts w:ascii="Arial" w:hAnsi="Arial" w:cs="Arial"/>
          <w:noProof/>
          <w:sz w:val="24"/>
          <w:szCs w:val="24"/>
        </w:rPr>
        <w:drawing>
          <wp:anchor distT="0" distB="0" distL="114300" distR="114300" simplePos="0" relativeHeight="251661824" behindDoc="1" locked="0" layoutInCell="1" allowOverlap="1">
            <wp:simplePos x="0" y="0"/>
            <wp:positionH relativeFrom="column">
              <wp:posOffset>-504825</wp:posOffset>
            </wp:positionH>
            <wp:positionV relativeFrom="paragraph">
              <wp:posOffset>-123825</wp:posOffset>
            </wp:positionV>
            <wp:extent cx="3571875" cy="3257550"/>
            <wp:effectExtent l="19050" t="0" r="9525" b="0"/>
            <wp:wrapTight wrapText="bothSides">
              <wp:wrapPolygon edited="0">
                <wp:start x="-115" y="0"/>
                <wp:lineTo x="-115" y="21474"/>
                <wp:lineTo x="21658" y="21474"/>
                <wp:lineTo x="21658" y="0"/>
                <wp:lineTo x="-115"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571875" cy="3257550"/>
                    </a:xfrm>
                    <a:prstGeom prst="rect">
                      <a:avLst/>
                    </a:prstGeom>
                    <a:noFill/>
                    <a:ln w="9525">
                      <a:noFill/>
                      <a:miter lim="800000"/>
                      <a:headEnd/>
                      <a:tailEnd/>
                    </a:ln>
                  </pic:spPr>
                </pic:pic>
              </a:graphicData>
            </a:graphic>
          </wp:anchor>
        </w:drawing>
      </w:r>
    </w:p>
    <w:p w:rsidR="009D5E85" w:rsidRDefault="009D5E85" w:rsidP="009D5E85">
      <w:pPr>
        <w:overflowPunct/>
        <w:spacing w:line="400" w:lineRule="atLeast"/>
        <w:textAlignment w:val="auto"/>
        <w:rPr>
          <w:sz w:val="24"/>
          <w:szCs w:val="24"/>
        </w:rPr>
      </w:pPr>
    </w:p>
    <w:p w:rsidR="00FC64B4" w:rsidRDefault="009D5E85" w:rsidP="009D5E85">
      <w:pPr>
        <w:overflowPunct/>
        <w:spacing w:line="400" w:lineRule="atLeast"/>
        <w:textAlignment w:val="auto"/>
        <w:rPr>
          <w:rFonts w:ascii="Arial" w:hAnsi="Arial" w:cs="Arial"/>
          <w:sz w:val="24"/>
          <w:szCs w:val="24"/>
        </w:rPr>
      </w:pPr>
      <w:r>
        <w:rPr>
          <w:rFonts w:ascii="Arial" w:hAnsi="Arial" w:cs="Arial"/>
          <w:sz w:val="24"/>
          <w:szCs w:val="24"/>
        </w:rPr>
        <w:tab/>
      </w:r>
    </w:p>
    <w:p w:rsidR="00FC64B4" w:rsidRDefault="00FC64B4" w:rsidP="00FC64B4">
      <w:pPr>
        <w:overflowPunct/>
        <w:textAlignment w:val="auto"/>
        <w:rPr>
          <w:sz w:val="24"/>
          <w:szCs w:val="24"/>
        </w:rPr>
      </w:pPr>
    </w:p>
    <w:p w:rsidR="002B7A00" w:rsidRDefault="00FC64B4" w:rsidP="00FC64B4">
      <w:pPr>
        <w:overflowPunct/>
        <w:spacing w:line="400" w:lineRule="atLeast"/>
        <w:textAlignment w:val="auto"/>
        <w:rPr>
          <w:rFonts w:ascii="Arial" w:hAnsi="Arial" w:cs="Arial"/>
          <w:sz w:val="24"/>
          <w:szCs w:val="24"/>
        </w:rPr>
      </w:pPr>
      <w:r>
        <w:rPr>
          <w:rFonts w:ascii="Arial" w:hAnsi="Arial" w:cs="Arial"/>
          <w:sz w:val="24"/>
          <w:szCs w:val="24"/>
        </w:rPr>
        <w:tab/>
        <w:t xml:space="preserve">These pie charts show that patients with urgent acuity levels were more likely to </w:t>
      </w:r>
    </w:p>
    <w:p w:rsidR="002B7A00" w:rsidRDefault="002B7A00" w:rsidP="00FC64B4">
      <w:pPr>
        <w:overflowPunct/>
        <w:spacing w:line="400" w:lineRule="atLeast"/>
        <w:textAlignment w:val="auto"/>
        <w:rPr>
          <w:rFonts w:ascii="Arial" w:hAnsi="Arial" w:cs="Arial"/>
          <w:sz w:val="24"/>
          <w:szCs w:val="24"/>
        </w:rPr>
      </w:pPr>
    </w:p>
    <w:p w:rsidR="00FC64B4" w:rsidRPr="00FC64B4" w:rsidRDefault="00FC64B4" w:rsidP="00FC64B4">
      <w:pPr>
        <w:overflowPunct/>
        <w:spacing w:line="400" w:lineRule="atLeast"/>
        <w:textAlignment w:val="auto"/>
        <w:rPr>
          <w:rFonts w:ascii="Arial" w:hAnsi="Arial" w:cs="Arial"/>
          <w:sz w:val="24"/>
          <w:szCs w:val="24"/>
        </w:rPr>
      </w:pPr>
      <w:proofErr w:type="gramStart"/>
      <w:r>
        <w:rPr>
          <w:rFonts w:ascii="Arial" w:hAnsi="Arial" w:cs="Arial"/>
          <w:sz w:val="24"/>
          <w:szCs w:val="24"/>
        </w:rPr>
        <w:t>be</w:t>
      </w:r>
      <w:proofErr w:type="gramEnd"/>
      <w:r>
        <w:rPr>
          <w:rFonts w:ascii="Arial" w:hAnsi="Arial" w:cs="Arial"/>
          <w:sz w:val="24"/>
          <w:szCs w:val="24"/>
        </w:rPr>
        <w:t xml:space="preserve"> transferred than less urgent patients.  </w:t>
      </w:r>
    </w:p>
    <w:p w:rsidR="00FC64B4" w:rsidRDefault="00FC64B4" w:rsidP="00FC64B4">
      <w:pPr>
        <w:overflowPunct/>
        <w:textAlignment w:val="auto"/>
        <w:rPr>
          <w:sz w:val="24"/>
          <w:szCs w:val="24"/>
        </w:rPr>
      </w:pPr>
    </w:p>
    <w:p w:rsidR="009D5E85" w:rsidRDefault="009D5E85" w:rsidP="00FC64B4">
      <w:pPr>
        <w:overflowPunct/>
        <w:spacing w:line="400" w:lineRule="atLeast"/>
        <w:ind w:firstLine="720"/>
        <w:textAlignment w:val="auto"/>
        <w:rPr>
          <w:rFonts w:ascii="Arial" w:hAnsi="Arial" w:cs="Arial"/>
          <w:sz w:val="24"/>
          <w:szCs w:val="24"/>
        </w:rPr>
      </w:pPr>
      <w:r>
        <w:rPr>
          <w:rFonts w:ascii="Arial" w:hAnsi="Arial" w:cs="Arial"/>
          <w:sz w:val="24"/>
          <w:szCs w:val="24"/>
        </w:rPr>
        <w:t xml:space="preserve">Acuity and insurance also has no significance.  In fact there were more 55.6% </w:t>
      </w:r>
    </w:p>
    <w:p w:rsidR="009D5E85" w:rsidRDefault="009D5E85" w:rsidP="009D5E85">
      <w:pPr>
        <w:overflowPunct/>
        <w:spacing w:line="400" w:lineRule="atLeast"/>
        <w:textAlignment w:val="auto"/>
        <w:rPr>
          <w:rFonts w:ascii="Arial" w:hAnsi="Arial" w:cs="Arial"/>
          <w:sz w:val="24"/>
          <w:szCs w:val="24"/>
        </w:rPr>
      </w:pPr>
    </w:p>
    <w:p w:rsidR="009D5E85" w:rsidRDefault="009D5E85" w:rsidP="009D5E85">
      <w:pPr>
        <w:overflowPunct/>
        <w:spacing w:line="400" w:lineRule="atLeast"/>
        <w:textAlignment w:val="auto"/>
        <w:rPr>
          <w:rFonts w:ascii="Arial" w:hAnsi="Arial" w:cs="Arial"/>
          <w:sz w:val="24"/>
          <w:szCs w:val="24"/>
        </w:rPr>
      </w:pPr>
      <w:proofErr w:type="gramStart"/>
      <w:r>
        <w:rPr>
          <w:rFonts w:ascii="Arial" w:hAnsi="Arial" w:cs="Arial"/>
          <w:sz w:val="24"/>
          <w:szCs w:val="24"/>
        </w:rPr>
        <w:t>less</w:t>
      </w:r>
      <w:proofErr w:type="gramEnd"/>
      <w:r>
        <w:rPr>
          <w:rFonts w:ascii="Arial" w:hAnsi="Arial" w:cs="Arial"/>
          <w:sz w:val="24"/>
          <w:szCs w:val="24"/>
        </w:rPr>
        <w:t xml:space="preserve"> urgent patients with no insurance, while only 36.4% of urgent patients had no </w:t>
      </w:r>
    </w:p>
    <w:p w:rsidR="00FC64B4" w:rsidRDefault="00FC64B4" w:rsidP="009D5E85">
      <w:pPr>
        <w:overflowPunct/>
        <w:spacing w:line="400" w:lineRule="atLeast"/>
        <w:textAlignment w:val="auto"/>
        <w:rPr>
          <w:rFonts w:ascii="Arial" w:hAnsi="Arial" w:cs="Arial"/>
          <w:sz w:val="24"/>
          <w:szCs w:val="24"/>
        </w:rPr>
      </w:pPr>
    </w:p>
    <w:p w:rsidR="002B7A00" w:rsidRDefault="009D5E85" w:rsidP="009D5E85">
      <w:pPr>
        <w:overflowPunct/>
        <w:spacing w:line="400" w:lineRule="atLeast"/>
        <w:textAlignment w:val="auto"/>
        <w:rPr>
          <w:rFonts w:ascii="Arial" w:hAnsi="Arial" w:cs="Arial"/>
          <w:sz w:val="24"/>
          <w:szCs w:val="24"/>
        </w:rPr>
      </w:pPr>
      <w:proofErr w:type="gramStart"/>
      <w:r>
        <w:rPr>
          <w:rFonts w:ascii="Arial" w:hAnsi="Arial" w:cs="Arial"/>
          <w:sz w:val="24"/>
          <w:szCs w:val="24"/>
        </w:rPr>
        <w:t>insurance</w:t>
      </w:r>
      <w:proofErr w:type="gramEnd"/>
      <w:r>
        <w:rPr>
          <w:rFonts w:ascii="Arial" w:hAnsi="Arial" w:cs="Arial"/>
          <w:sz w:val="24"/>
          <w:szCs w:val="24"/>
        </w:rPr>
        <w:t xml:space="preserve">. </w:t>
      </w:r>
      <w:r w:rsidR="002B7A00">
        <w:rPr>
          <w:rFonts w:ascii="Arial" w:hAnsi="Arial" w:cs="Arial"/>
          <w:sz w:val="24"/>
          <w:szCs w:val="24"/>
        </w:rPr>
        <w:t xml:space="preserve"> The following graphs show more less urgent patients were without </w:t>
      </w:r>
    </w:p>
    <w:p w:rsidR="002B7A00" w:rsidRDefault="002B7A00" w:rsidP="009D5E85">
      <w:pPr>
        <w:overflowPunct/>
        <w:spacing w:line="400" w:lineRule="atLeast"/>
        <w:textAlignment w:val="auto"/>
        <w:rPr>
          <w:rFonts w:ascii="Arial" w:hAnsi="Arial" w:cs="Arial"/>
          <w:sz w:val="24"/>
          <w:szCs w:val="24"/>
        </w:rPr>
      </w:pPr>
    </w:p>
    <w:p w:rsidR="009D5E85" w:rsidRPr="009D5E85" w:rsidRDefault="002B7A00" w:rsidP="009D5E85">
      <w:pPr>
        <w:overflowPunct/>
        <w:spacing w:line="400" w:lineRule="atLeast"/>
        <w:textAlignment w:val="auto"/>
        <w:rPr>
          <w:rFonts w:ascii="Arial" w:hAnsi="Arial" w:cs="Arial"/>
          <w:sz w:val="24"/>
          <w:szCs w:val="24"/>
        </w:rPr>
      </w:pPr>
      <w:proofErr w:type="gramStart"/>
      <w:r>
        <w:rPr>
          <w:rFonts w:ascii="Arial" w:hAnsi="Arial" w:cs="Arial"/>
          <w:sz w:val="24"/>
          <w:szCs w:val="24"/>
        </w:rPr>
        <w:t>insurance</w:t>
      </w:r>
      <w:proofErr w:type="gramEnd"/>
      <w:r>
        <w:rPr>
          <w:rFonts w:ascii="Arial" w:hAnsi="Arial" w:cs="Arial"/>
          <w:sz w:val="24"/>
          <w:szCs w:val="24"/>
        </w:rPr>
        <w:t xml:space="preserve"> than urgent patients.  </w:t>
      </w:r>
    </w:p>
    <w:p w:rsidR="00121ED6" w:rsidRDefault="002B7A00" w:rsidP="00121ED6">
      <w:pPr>
        <w:pStyle w:val="APA"/>
      </w:pPr>
      <w:r>
        <w:rPr>
          <w:noProof/>
        </w:rPr>
        <w:lastRenderedPageBreak/>
        <w:drawing>
          <wp:anchor distT="0" distB="0" distL="114300" distR="114300" simplePos="0" relativeHeight="251663872" behindDoc="1" locked="0" layoutInCell="1" allowOverlap="1">
            <wp:simplePos x="0" y="0"/>
            <wp:positionH relativeFrom="column">
              <wp:posOffset>2981325</wp:posOffset>
            </wp:positionH>
            <wp:positionV relativeFrom="paragraph">
              <wp:posOffset>161925</wp:posOffset>
            </wp:positionV>
            <wp:extent cx="3800475" cy="3038475"/>
            <wp:effectExtent l="19050" t="0" r="9525" b="0"/>
            <wp:wrapTight wrapText="bothSides">
              <wp:wrapPolygon edited="0">
                <wp:start x="-108" y="0"/>
                <wp:lineTo x="-108" y="21532"/>
                <wp:lineTo x="21654" y="21532"/>
                <wp:lineTo x="21654" y="0"/>
                <wp:lineTo x="-10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3800475" cy="3038475"/>
                    </a:xfrm>
                    <a:prstGeom prst="rect">
                      <a:avLst/>
                    </a:prstGeom>
                    <a:noFill/>
                    <a:ln w="9525">
                      <a:noFill/>
                      <a:miter lim="800000"/>
                      <a:headEnd/>
                      <a:tailEnd/>
                    </a:ln>
                  </pic:spPr>
                </pic:pic>
              </a:graphicData>
            </a:graphic>
          </wp:anchor>
        </w:drawing>
      </w:r>
      <w:r w:rsidR="00FC64B4">
        <w:rPr>
          <w:noProof/>
        </w:rPr>
        <w:drawing>
          <wp:anchor distT="0" distB="0" distL="114300" distR="114300" simplePos="0" relativeHeight="251662848" behindDoc="1" locked="0" layoutInCell="1" allowOverlap="1">
            <wp:simplePos x="0" y="0"/>
            <wp:positionH relativeFrom="column">
              <wp:posOffset>-504825</wp:posOffset>
            </wp:positionH>
            <wp:positionV relativeFrom="paragraph">
              <wp:posOffset>77470</wp:posOffset>
            </wp:positionV>
            <wp:extent cx="3905250" cy="3119755"/>
            <wp:effectExtent l="19050" t="0" r="0" b="0"/>
            <wp:wrapTight wrapText="bothSides">
              <wp:wrapPolygon edited="0">
                <wp:start x="-105" y="0"/>
                <wp:lineTo x="-105" y="21499"/>
                <wp:lineTo x="21600" y="21499"/>
                <wp:lineTo x="21600" y="0"/>
                <wp:lineTo x="-105" y="0"/>
              </wp:wrapPolygon>
            </wp:wrapTight>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905250" cy="3119755"/>
                    </a:xfrm>
                    <a:prstGeom prst="rect">
                      <a:avLst/>
                    </a:prstGeom>
                    <a:noFill/>
                    <a:ln w="9525">
                      <a:noFill/>
                      <a:miter lim="800000"/>
                      <a:headEnd/>
                      <a:tailEnd/>
                    </a:ln>
                  </pic:spPr>
                </pic:pic>
              </a:graphicData>
            </a:graphic>
          </wp:anchor>
        </w:drawing>
      </w:r>
    </w:p>
    <w:p w:rsidR="00FC64B4" w:rsidRDefault="00FC64B4" w:rsidP="00FC64B4">
      <w:pPr>
        <w:overflowPunct/>
        <w:textAlignment w:val="auto"/>
        <w:rPr>
          <w:sz w:val="24"/>
          <w:szCs w:val="24"/>
        </w:rPr>
      </w:pPr>
    </w:p>
    <w:p w:rsidR="0070080F" w:rsidRPr="009D5E85" w:rsidRDefault="009D5E85" w:rsidP="002B7A00">
      <w:pPr>
        <w:pStyle w:val="APAHeadingCenterIncludedInTOC"/>
        <w:rPr>
          <w:rFonts w:ascii="Arial" w:hAnsi="Arial" w:cs="Arial"/>
        </w:rPr>
      </w:pPr>
      <w:r>
        <w:rPr>
          <w:rFonts w:ascii="Arial" w:hAnsi="Arial" w:cs="Arial"/>
        </w:rPr>
        <w:t>Discussion</w:t>
      </w:r>
    </w:p>
    <w:p w:rsidR="0070080F" w:rsidRDefault="00521AC0" w:rsidP="00521AC0">
      <w:pPr>
        <w:pStyle w:val="APAHeadingCenterIncludedInTOC"/>
        <w:jc w:val="left"/>
        <w:rPr>
          <w:rFonts w:ascii="Arial" w:hAnsi="Arial" w:cs="Arial"/>
        </w:rPr>
      </w:pPr>
      <w:r>
        <w:rPr>
          <w:rFonts w:ascii="Arial" w:hAnsi="Arial" w:cs="Arial"/>
        </w:rPr>
        <w:tab/>
        <w:t xml:space="preserve">According to the data there was a relationship between acuity level and length of stay.  The more urgent patients had longer lengths of stay than the less urgent patients.  There was no significance between the acuity level and whether the patient had insurance or if the patient was discharged home.  </w:t>
      </w:r>
    </w:p>
    <w:p w:rsidR="0070080F" w:rsidRDefault="00521AC0" w:rsidP="002B7A00">
      <w:pPr>
        <w:pStyle w:val="APA"/>
      </w:pPr>
      <w:r>
        <w:rPr>
          <w:rFonts w:ascii="Arial" w:hAnsi="Arial" w:cs="Arial"/>
        </w:rPr>
        <w:t xml:space="preserve">I feel that if a larger sample had been evaluated the results may have been a little different.  However since there was such a small sample there were not adequate amounts of patients transferred.  The research proves that acuity does have an effect of length of stay however it does not have any correlation with insurance.  </w:t>
      </w:r>
      <w:r w:rsidR="005B7BA9">
        <w:rPr>
          <w:rFonts w:ascii="Arial" w:hAnsi="Arial" w:cs="Arial"/>
        </w:rPr>
        <w:t xml:space="preserve">I do not believe that even with a larger sample size there would be any difference in the results with regards to insurance.  After this research I see that the patients do without insurance do not seem to delay care because of it.  </w:t>
      </w:r>
    </w:p>
    <w:p w:rsidR="00B042CF" w:rsidRPr="0070080F" w:rsidRDefault="00B042CF" w:rsidP="00B042CF">
      <w:pPr>
        <w:pStyle w:val="APAHeadingCenterIncludedInTOC"/>
        <w:rPr>
          <w:rFonts w:ascii="Arial" w:hAnsi="Arial" w:cs="Arial"/>
        </w:rPr>
      </w:pPr>
      <w:r>
        <w:br w:type="page"/>
      </w:r>
      <w:r w:rsidRPr="0070080F">
        <w:rPr>
          <w:rFonts w:ascii="Arial" w:hAnsi="Arial" w:cs="Arial"/>
        </w:rPr>
        <w:lastRenderedPageBreak/>
        <w:t>References</w:t>
      </w:r>
    </w:p>
    <w:p w:rsidR="00E6284C" w:rsidRPr="0070080F" w:rsidRDefault="00B042CF" w:rsidP="00B042CF">
      <w:pPr>
        <w:pStyle w:val="APAReference"/>
        <w:rPr>
          <w:rFonts w:ascii="Arial" w:hAnsi="Arial" w:cs="Arial"/>
        </w:rPr>
      </w:pPr>
      <w:bookmarkStart w:id="8" w:name="R414051623032407I123125"/>
      <w:r w:rsidRPr="0070080F">
        <w:rPr>
          <w:rFonts w:ascii="Arial" w:hAnsi="Arial" w:cs="Arial"/>
        </w:rPr>
        <w:t>Emergency severity index (ESI): a triage tool for emergency department. (2011). Retrieved May 5, 2013, from http://www.ahrq.gov/professionals/systems/hospital/esi/esi1.html</w:t>
      </w:r>
      <w:bookmarkEnd w:id="8"/>
    </w:p>
    <w:sectPr w:rsidR="00E6284C" w:rsidRPr="0070080F" w:rsidSect="00EE185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93" w:rsidRDefault="00891093">
      <w:r>
        <w:separator/>
      </w:r>
    </w:p>
  </w:endnote>
  <w:endnote w:type="continuationSeparator" w:id="0">
    <w:p w:rsidR="00891093" w:rsidRDefault="0089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04B" w:usb2="00000000" w:usb3="00000000" w:csb0="000000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93" w:rsidRDefault="00891093">
      <w:r>
        <w:separator/>
      </w:r>
    </w:p>
  </w:footnote>
  <w:footnote w:type="continuationSeparator" w:id="0">
    <w:p w:rsidR="00891093" w:rsidRDefault="00891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CD" w:rsidRPr="00EE1850" w:rsidRDefault="0080048A" w:rsidP="00EE1850">
    <w:pPr>
      <w:pStyle w:val="APAPageHeading"/>
    </w:pPr>
    <w:r>
      <w:t>PATIENT ACUITY IN THE ER</w:t>
    </w:r>
    <w:r w:rsidR="002226CD">
      <w:tab/>
    </w:r>
    <w:r w:rsidR="00891093">
      <w:fldChar w:fldCharType="begin"/>
    </w:r>
    <w:r w:rsidR="00891093">
      <w:instrText xml:space="preserve"> PAGE  \* MERGEFORMAT </w:instrText>
    </w:r>
    <w:r w:rsidR="00891093">
      <w:fldChar w:fldCharType="separate"/>
    </w:r>
    <w:r w:rsidR="00AC57BA">
      <w:rPr>
        <w:noProof/>
      </w:rPr>
      <w:t>8</w:t>
    </w:r>
    <w:r w:rsidR="0089109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CD" w:rsidRPr="00EE1850" w:rsidRDefault="002226CD" w:rsidP="00EE1850">
    <w:pPr>
      <w:pStyle w:val="APAPageHeading"/>
    </w:pPr>
    <w:r>
      <w:t xml:space="preserve">Running head: </w:t>
    </w:r>
    <w:r w:rsidR="0080048A">
      <w:t>PATIENT ACUITY IN THE ER</w:t>
    </w:r>
    <w:r>
      <w:tab/>
    </w:r>
    <w:r w:rsidR="00891093">
      <w:fldChar w:fldCharType="begin"/>
    </w:r>
    <w:r w:rsidR="00891093">
      <w:instrText xml:space="preserve"> PAGE  \* MERGEFORMAT </w:instrText>
    </w:r>
    <w:r w:rsidR="00891093">
      <w:fldChar w:fldCharType="separate"/>
    </w:r>
    <w:r w:rsidR="00AC57BA">
      <w:rPr>
        <w:noProof/>
      </w:rPr>
      <w:t>1</w:t>
    </w:r>
    <w:r w:rsidR="00891093">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CD" w:rsidRPr="00EE1850" w:rsidRDefault="0080048A" w:rsidP="00EE1850">
    <w:pPr>
      <w:pStyle w:val="APAPageHeading"/>
    </w:pPr>
    <w:r>
      <w:t>PATIENT ACUITY IN THE ER</w:t>
    </w:r>
    <w:r w:rsidR="002226CD">
      <w:tab/>
    </w:r>
    <w:r w:rsidR="00891093">
      <w:fldChar w:fldCharType="begin"/>
    </w:r>
    <w:r w:rsidR="00891093">
      <w:instrText xml:space="preserve"> PAGE  \* MERGEFORMAT </w:instrText>
    </w:r>
    <w:r w:rsidR="00891093">
      <w:fldChar w:fldCharType="separate"/>
    </w:r>
    <w:r w:rsidR="00AC57BA">
      <w:rPr>
        <w:noProof/>
      </w:rPr>
      <w:t>2</w:t>
    </w:r>
    <w:r w:rsidR="00891093">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14051623032407I123125" w:val="*1,610˜13Emergency severity index (ESI): a triage tool for emergency department˜1234Emergency severity index (ESI)˜12032011˜2700˜1112May 5, 2013˜112http://www.ahrq.gov/professionals/systems/hospital/esi/esi1.html˜"/>
    <w:docVar w:name="bmHeaderInfo" w:val="STATISTICS PROJECT"/>
    <w:docVar w:name="cIsAbstract" w:val="False"/>
    <w:docVar w:name="cPaperAPAOrMLA" w:val="1"/>
    <w:docVar w:name="cUniquePaperID" w:val="413991534259259I123125"/>
    <w:docVar w:name="LastEditedVersion" w:val="5"/>
  </w:docVars>
  <w:rsids>
    <w:rsidRoot w:val="000829FD"/>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4E98"/>
    <w:rsid w:val="00025FAC"/>
    <w:rsid w:val="00031745"/>
    <w:rsid w:val="000323AD"/>
    <w:rsid w:val="00033E75"/>
    <w:rsid w:val="00034E5C"/>
    <w:rsid w:val="00034EEC"/>
    <w:rsid w:val="00035FF6"/>
    <w:rsid w:val="00040203"/>
    <w:rsid w:val="0004204A"/>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58E"/>
    <w:rsid w:val="00065715"/>
    <w:rsid w:val="00066EEF"/>
    <w:rsid w:val="000676E9"/>
    <w:rsid w:val="00067855"/>
    <w:rsid w:val="0007012E"/>
    <w:rsid w:val="000718A5"/>
    <w:rsid w:val="00075B68"/>
    <w:rsid w:val="00077379"/>
    <w:rsid w:val="000777BB"/>
    <w:rsid w:val="00077CA5"/>
    <w:rsid w:val="00080A06"/>
    <w:rsid w:val="00080A96"/>
    <w:rsid w:val="0008185E"/>
    <w:rsid w:val="000829FD"/>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4324"/>
    <w:rsid w:val="000A7474"/>
    <w:rsid w:val="000A7C2C"/>
    <w:rsid w:val="000B0007"/>
    <w:rsid w:val="000B15DC"/>
    <w:rsid w:val="000B170D"/>
    <w:rsid w:val="000B18A9"/>
    <w:rsid w:val="000B25A0"/>
    <w:rsid w:val="000B4365"/>
    <w:rsid w:val="000B772C"/>
    <w:rsid w:val="000C0365"/>
    <w:rsid w:val="000C03BF"/>
    <w:rsid w:val="000C11DE"/>
    <w:rsid w:val="000C1FC5"/>
    <w:rsid w:val="000C6EAB"/>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35FF"/>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ED6"/>
    <w:rsid w:val="00121FC6"/>
    <w:rsid w:val="00122D08"/>
    <w:rsid w:val="00123103"/>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796B"/>
    <w:rsid w:val="001717AD"/>
    <w:rsid w:val="0017576B"/>
    <w:rsid w:val="00176C2C"/>
    <w:rsid w:val="00182674"/>
    <w:rsid w:val="00183914"/>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ECC"/>
    <w:rsid w:val="001D4296"/>
    <w:rsid w:val="001D5268"/>
    <w:rsid w:val="001D5894"/>
    <w:rsid w:val="001D58C1"/>
    <w:rsid w:val="001D671A"/>
    <w:rsid w:val="001D7C57"/>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26CD"/>
    <w:rsid w:val="0022347E"/>
    <w:rsid w:val="002252B7"/>
    <w:rsid w:val="0022564A"/>
    <w:rsid w:val="002270B9"/>
    <w:rsid w:val="0022727A"/>
    <w:rsid w:val="0023071D"/>
    <w:rsid w:val="00231560"/>
    <w:rsid w:val="002329A1"/>
    <w:rsid w:val="00232A05"/>
    <w:rsid w:val="00232A51"/>
    <w:rsid w:val="00232EB1"/>
    <w:rsid w:val="0023335C"/>
    <w:rsid w:val="00234D60"/>
    <w:rsid w:val="00240C83"/>
    <w:rsid w:val="002423B5"/>
    <w:rsid w:val="002437E6"/>
    <w:rsid w:val="00247CA9"/>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1804"/>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B7A00"/>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ABC"/>
    <w:rsid w:val="002E7BB5"/>
    <w:rsid w:val="002F1C92"/>
    <w:rsid w:val="002F1CB7"/>
    <w:rsid w:val="002F2990"/>
    <w:rsid w:val="002F42C4"/>
    <w:rsid w:val="002F5801"/>
    <w:rsid w:val="002F656A"/>
    <w:rsid w:val="002F7F16"/>
    <w:rsid w:val="003013D8"/>
    <w:rsid w:val="00302829"/>
    <w:rsid w:val="00304072"/>
    <w:rsid w:val="0030408C"/>
    <w:rsid w:val="003047E5"/>
    <w:rsid w:val="00304FA2"/>
    <w:rsid w:val="003108F4"/>
    <w:rsid w:val="003110D6"/>
    <w:rsid w:val="003112B7"/>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CE4"/>
    <w:rsid w:val="00354DBA"/>
    <w:rsid w:val="00354E6D"/>
    <w:rsid w:val="00362C66"/>
    <w:rsid w:val="00363A1E"/>
    <w:rsid w:val="00363B22"/>
    <w:rsid w:val="00365594"/>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C30"/>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537C"/>
    <w:rsid w:val="003E6233"/>
    <w:rsid w:val="003F04D1"/>
    <w:rsid w:val="003F27CE"/>
    <w:rsid w:val="003F67B2"/>
    <w:rsid w:val="00400D63"/>
    <w:rsid w:val="00402858"/>
    <w:rsid w:val="00403652"/>
    <w:rsid w:val="0040443D"/>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B53"/>
    <w:rsid w:val="00416FF0"/>
    <w:rsid w:val="00420B39"/>
    <w:rsid w:val="00421436"/>
    <w:rsid w:val="00421581"/>
    <w:rsid w:val="004215D4"/>
    <w:rsid w:val="00421C7E"/>
    <w:rsid w:val="00422C7D"/>
    <w:rsid w:val="0042609D"/>
    <w:rsid w:val="00431605"/>
    <w:rsid w:val="0043255D"/>
    <w:rsid w:val="004327A6"/>
    <w:rsid w:val="00432B5E"/>
    <w:rsid w:val="0043569C"/>
    <w:rsid w:val="00436242"/>
    <w:rsid w:val="00440557"/>
    <w:rsid w:val="00443D91"/>
    <w:rsid w:val="00443EAE"/>
    <w:rsid w:val="00444BD7"/>
    <w:rsid w:val="00446BE4"/>
    <w:rsid w:val="0044745A"/>
    <w:rsid w:val="00450181"/>
    <w:rsid w:val="0045042B"/>
    <w:rsid w:val="0045139A"/>
    <w:rsid w:val="00451626"/>
    <w:rsid w:val="00451E56"/>
    <w:rsid w:val="00452ED2"/>
    <w:rsid w:val="00453F2A"/>
    <w:rsid w:val="00454672"/>
    <w:rsid w:val="0045719E"/>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2833"/>
    <w:rsid w:val="00483918"/>
    <w:rsid w:val="00490673"/>
    <w:rsid w:val="00490F0A"/>
    <w:rsid w:val="004912A6"/>
    <w:rsid w:val="00491C36"/>
    <w:rsid w:val="00496A04"/>
    <w:rsid w:val="004975C2"/>
    <w:rsid w:val="00497A70"/>
    <w:rsid w:val="004A0428"/>
    <w:rsid w:val="004A0B2B"/>
    <w:rsid w:val="004A1B0D"/>
    <w:rsid w:val="004A2156"/>
    <w:rsid w:val="004A49BE"/>
    <w:rsid w:val="004A5B51"/>
    <w:rsid w:val="004A61D0"/>
    <w:rsid w:val="004A6E3C"/>
    <w:rsid w:val="004A7132"/>
    <w:rsid w:val="004B14E3"/>
    <w:rsid w:val="004B26B0"/>
    <w:rsid w:val="004B26CE"/>
    <w:rsid w:val="004B279A"/>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D3F4E"/>
    <w:rsid w:val="004E40E7"/>
    <w:rsid w:val="004E4238"/>
    <w:rsid w:val="004E43BF"/>
    <w:rsid w:val="004E6F70"/>
    <w:rsid w:val="004F0978"/>
    <w:rsid w:val="004F1B66"/>
    <w:rsid w:val="004F1D60"/>
    <w:rsid w:val="004F4A78"/>
    <w:rsid w:val="004F4E44"/>
    <w:rsid w:val="004F55B9"/>
    <w:rsid w:val="004F5F21"/>
    <w:rsid w:val="005006B6"/>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AC0"/>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B7BA9"/>
    <w:rsid w:val="005C0B96"/>
    <w:rsid w:val="005C0BB5"/>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16F3"/>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23FC"/>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B33"/>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617"/>
    <w:rsid w:val="006F7A7B"/>
    <w:rsid w:val="0070080F"/>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40976"/>
    <w:rsid w:val="00742FE8"/>
    <w:rsid w:val="007439C3"/>
    <w:rsid w:val="00743C78"/>
    <w:rsid w:val="00743D9A"/>
    <w:rsid w:val="0074659C"/>
    <w:rsid w:val="00747066"/>
    <w:rsid w:val="00750033"/>
    <w:rsid w:val="00752C28"/>
    <w:rsid w:val="00754231"/>
    <w:rsid w:val="0075425B"/>
    <w:rsid w:val="007553B0"/>
    <w:rsid w:val="00755A12"/>
    <w:rsid w:val="00755DEC"/>
    <w:rsid w:val="007563CF"/>
    <w:rsid w:val="0075678B"/>
    <w:rsid w:val="0076359E"/>
    <w:rsid w:val="0076418E"/>
    <w:rsid w:val="00764AB6"/>
    <w:rsid w:val="0076653E"/>
    <w:rsid w:val="007672CA"/>
    <w:rsid w:val="00767A93"/>
    <w:rsid w:val="00767BF0"/>
    <w:rsid w:val="00771EB7"/>
    <w:rsid w:val="00772629"/>
    <w:rsid w:val="007732D9"/>
    <w:rsid w:val="00774C31"/>
    <w:rsid w:val="00776042"/>
    <w:rsid w:val="0077611D"/>
    <w:rsid w:val="00776914"/>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48A"/>
    <w:rsid w:val="00800BA2"/>
    <w:rsid w:val="00800EFA"/>
    <w:rsid w:val="00801317"/>
    <w:rsid w:val="00802369"/>
    <w:rsid w:val="00802B37"/>
    <w:rsid w:val="00802FCD"/>
    <w:rsid w:val="008031A2"/>
    <w:rsid w:val="00803ADB"/>
    <w:rsid w:val="00804AAF"/>
    <w:rsid w:val="00805AE5"/>
    <w:rsid w:val="008062B9"/>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3127"/>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AE"/>
    <w:rsid w:val="00857BE3"/>
    <w:rsid w:val="00861374"/>
    <w:rsid w:val="00861808"/>
    <w:rsid w:val="00863785"/>
    <w:rsid w:val="0086397B"/>
    <w:rsid w:val="008639D8"/>
    <w:rsid w:val="0086472B"/>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093"/>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17E"/>
    <w:rsid w:val="008E484E"/>
    <w:rsid w:val="008E4863"/>
    <w:rsid w:val="008E4F7A"/>
    <w:rsid w:val="008E64C9"/>
    <w:rsid w:val="008E67BB"/>
    <w:rsid w:val="008E7540"/>
    <w:rsid w:val="008F0450"/>
    <w:rsid w:val="008F0E1C"/>
    <w:rsid w:val="008F1710"/>
    <w:rsid w:val="008F2C33"/>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5074"/>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5E85"/>
    <w:rsid w:val="009D640F"/>
    <w:rsid w:val="009E0A0C"/>
    <w:rsid w:val="009E204B"/>
    <w:rsid w:val="009E2C93"/>
    <w:rsid w:val="009E3BF8"/>
    <w:rsid w:val="009E5F6F"/>
    <w:rsid w:val="009E61F5"/>
    <w:rsid w:val="009E71E8"/>
    <w:rsid w:val="009F1418"/>
    <w:rsid w:val="009F2A2E"/>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432D"/>
    <w:rsid w:val="00A24A8A"/>
    <w:rsid w:val="00A25311"/>
    <w:rsid w:val="00A2776D"/>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BE0"/>
    <w:rsid w:val="00A8436D"/>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57BA"/>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2CF"/>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1D01"/>
    <w:rsid w:val="00B95AB8"/>
    <w:rsid w:val="00B969C2"/>
    <w:rsid w:val="00B96B82"/>
    <w:rsid w:val="00B97B20"/>
    <w:rsid w:val="00BA2ACC"/>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8793A"/>
    <w:rsid w:val="00C91741"/>
    <w:rsid w:val="00C919F1"/>
    <w:rsid w:val="00C92393"/>
    <w:rsid w:val="00C92436"/>
    <w:rsid w:val="00C94CF8"/>
    <w:rsid w:val="00C955B0"/>
    <w:rsid w:val="00C95C62"/>
    <w:rsid w:val="00CA0101"/>
    <w:rsid w:val="00CA0B56"/>
    <w:rsid w:val="00CA1974"/>
    <w:rsid w:val="00CA1CD4"/>
    <w:rsid w:val="00CA1DE9"/>
    <w:rsid w:val="00CA20B1"/>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BA5"/>
    <w:rsid w:val="00CC4DBC"/>
    <w:rsid w:val="00CC5006"/>
    <w:rsid w:val="00CC524A"/>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B17"/>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1A02"/>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9C"/>
    <w:rsid w:val="00EC3654"/>
    <w:rsid w:val="00ED0FB4"/>
    <w:rsid w:val="00ED10D4"/>
    <w:rsid w:val="00ED1A57"/>
    <w:rsid w:val="00ED229E"/>
    <w:rsid w:val="00ED2B6E"/>
    <w:rsid w:val="00ED2EFD"/>
    <w:rsid w:val="00ED34A7"/>
    <w:rsid w:val="00ED75DA"/>
    <w:rsid w:val="00ED782D"/>
    <w:rsid w:val="00EE1312"/>
    <w:rsid w:val="00EE1850"/>
    <w:rsid w:val="00EE21F1"/>
    <w:rsid w:val="00EE24C2"/>
    <w:rsid w:val="00EE47A0"/>
    <w:rsid w:val="00EE4D38"/>
    <w:rsid w:val="00EE59DF"/>
    <w:rsid w:val="00EE6DF8"/>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4D2B"/>
    <w:rsid w:val="00F2550C"/>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00D"/>
    <w:rsid w:val="00F54BA7"/>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7F23"/>
    <w:rsid w:val="00FC217F"/>
    <w:rsid w:val="00FC2F47"/>
    <w:rsid w:val="00FC34B8"/>
    <w:rsid w:val="00FC3777"/>
    <w:rsid w:val="00FC5375"/>
    <w:rsid w:val="00FC57B1"/>
    <w:rsid w:val="00FC64B4"/>
    <w:rsid w:val="00FC6907"/>
    <w:rsid w:val="00FD1569"/>
    <w:rsid w:val="00FD5249"/>
    <w:rsid w:val="00FD70FF"/>
    <w:rsid w:val="00FD7D10"/>
    <w:rsid w:val="00FE2241"/>
    <w:rsid w:val="00FE2D86"/>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D7EE47-F345-4797-93B5-D7ED14FE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F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9FD"/>
    <w:pPr>
      <w:tabs>
        <w:tab w:val="center" w:pos="4320"/>
        <w:tab w:val="right" w:pos="8640"/>
      </w:tabs>
    </w:pPr>
  </w:style>
  <w:style w:type="paragraph" w:customStyle="1" w:styleId="APA">
    <w:name w:val="APA"/>
    <w:basedOn w:val="BodyText"/>
    <w:rsid w:val="000829FD"/>
    <w:pPr>
      <w:spacing w:after="0" w:line="480" w:lineRule="auto"/>
      <w:ind w:firstLine="720"/>
    </w:pPr>
    <w:rPr>
      <w:sz w:val="24"/>
    </w:rPr>
  </w:style>
  <w:style w:type="paragraph" w:styleId="BodyText">
    <w:name w:val="Body Text"/>
    <w:basedOn w:val="Normal"/>
    <w:rsid w:val="000829FD"/>
    <w:pPr>
      <w:spacing w:after="120"/>
    </w:pPr>
  </w:style>
  <w:style w:type="paragraph" w:styleId="Footer">
    <w:name w:val="footer"/>
    <w:basedOn w:val="Normal"/>
    <w:rsid w:val="000829FD"/>
    <w:pPr>
      <w:tabs>
        <w:tab w:val="center" w:pos="4320"/>
        <w:tab w:val="right" w:pos="8640"/>
      </w:tabs>
    </w:pPr>
  </w:style>
  <w:style w:type="character" w:styleId="PageNumber">
    <w:name w:val="page number"/>
    <w:basedOn w:val="DefaultParagraphFont"/>
    <w:rsid w:val="000829FD"/>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rsid w:val="000829FD"/>
    <w:pPr>
      <w:ind w:left="720" w:firstLine="0"/>
    </w:pPr>
  </w:style>
  <w:style w:type="paragraph" w:customStyle="1" w:styleId="APABlockQuoteSubsequentPara">
    <w:name w:val="APA Block Quote Subsequent Para"/>
    <w:basedOn w:val="APA"/>
    <w:next w:val="APA"/>
    <w:rsid w:val="000829FD"/>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0829FD"/>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0829FD"/>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EE1850"/>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EE1850"/>
    <w:rPr>
      <w:sz w:val="24"/>
    </w:rPr>
  </w:style>
  <w:style w:type="paragraph" w:styleId="BalloonText">
    <w:name w:val="Balloon Text"/>
    <w:basedOn w:val="Normal"/>
    <w:link w:val="BalloonTextChar"/>
    <w:rsid w:val="00FC64B4"/>
    <w:rPr>
      <w:rFonts w:ascii="Tahoma" w:hAnsi="Tahoma" w:cs="Tahoma"/>
      <w:sz w:val="16"/>
      <w:szCs w:val="16"/>
    </w:rPr>
  </w:style>
  <w:style w:type="character" w:customStyle="1" w:styleId="BalloonTextChar">
    <w:name w:val="Balloon Text Char"/>
    <w:basedOn w:val="DefaultParagraphFont"/>
    <w:link w:val="BalloonText"/>
    <w:rsid w:val="00FC6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http://www.google.com/imgres?imgurl=http://www.awdsgn.com/dailyjournal/feb08/images/022208_NumericPainScale.gif&amp;imgrefurl=http://www.awdsgn.com/dailyjournal/feb08/html/dailypg_022208.htm&amp;usg=__udMIZSKD5nnWACo3Yh8nYH0SxLU=&amp;h=95&amp;w=375&amp;sz=2&amp;hl=en&amp;start=4&amp;zoom=1&amp;tbnid=cdpq0WoCE85jxM:&amp;tbnh=31&amp;tbnw=122&amp;ei=jByOUZC5B-XG0gH2r4CgDg&amp;prev=/search?q=numeric+pain+scale+1-10&amp;hl=en&amp;gbv=2&amp;tbm=isch&amp;itbs=1&amp;sa=X&amp;ved=0CDIQrQMwAw" TargetMode="External"/><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google.com/imgres?imgurl=http://www.biomedcentral.com/content/figures/1471-227X-11-16-1-l.jpg&amp;imgrefurl=http://www.biomedcentral.com/1471-227X/11/16/figure/F1?highres=y&amp;usg=__URrS5wTT1e3iJeMwQtJubWnmOfA=&amp;h=1703&amp;w=1200&amp;sz=162&amp;hl=en&amp;start=3&amp;zoom=1&amp;tbnid=UMUGQNxTK_SgIM:&amp;tbnh=150&amp;tbnw=106&amp;ei=0AqOUZiHHavy0wHnyoHYAw&amp;prev=/search?q=emergency+severity+index&amp;sa=X&amp;hl=en&amp;gbv=2&amp;tbm=isch&amp;prmd=ivns&amp;itbs=1&amp;sa=X&amp;ved=0CDAQrQMwAg"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oogle.com/imgres?imgurl=http://archive.ahrq.gov/research/esi/esifig2-1.gif&amp;imgrefurl=http://archive.ahrq.gov/research/esi/esifig2-1.htm&amp;usg=__OhZLx1ziuOOWJiBxoR-Wt5OaxoM=&amp;h=442&amp;w=366&amp;sz=6&amp;hl=en&amp;start=2&amp;zoom=1&amp;tbnid=T1O-36EoyoubLM:&amp;tbnh=127&amp;tbnw=105&amp;ei=0AqOUZiHHavy0wHnyoHYAw&amp;prev=/search?q=emergency+severity+index&amp;sa=X&amp;hl=en&amp;gbv=2&amp;tbm=isch&amp;prmd=ivns&amp;itbs=1&amp;sa=X&amp;ved=0CC4QrQMwAQ"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e\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6</TotalTime>
  <Pages>8</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Statistics Project</vt:lpstr>
    </vt:vector>
  </TitlesOfParts>
  <Company>Hewlett-Packard</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Project</dc:title>
  <dc:subject>Copyright</dc:subject>
  <dc:creator>Nichole Rodrock</dc:creator>
  <cp:lastModifiedBy>David Stockburger</cp:lastModifiedBy>
  <cp:revision>2</cp:revision>
  <dcterms:created xsi:type="dcterms:W3CDTF">2013-05-19T23:55:00Z</dcterms:created>
  <dcterms:modified xsi:type="dcterms:W3CDTF">2013-05-19T23:55:00Z</dcterms:modified>
</cp:coreProperties>
</file>